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A7B51" w14:textId="77777777" w:rsidR="00187088" w:rsidRPr="00247DE9" w:rsidRDefault="00187088" w:rsidP="00187088">
      <w:pPr>
        <w:pStyle w:val="Antrat1"/>
        <w:jc w:val="center"/>
        <w:rPr>
          <w:b/>
          <w:sz w:val="24"/>
          <w:szCs w:val="24"/>
          <w:lang w:val="lt-LT"/>
        </w:rPr>
      </w:pPr>
    </w:p>
    <w:p w14:paraId="05DA7B52" w14:textId="77777777" w:rsidR="00D24487" w:rsidRPr="00247DE9" w:rsidRDefault="00D24487" w:rsidP="00D24487">
      <w:pPr>
        <w:ind w:right="197"/>
        <w:jc w:val="center"/>
        <w:rPr>
          <w:b/>
          <w:sz w:val="24"/>
          <w:szCs w:val="24"/>
          <w:lang w:val="lt-LT"/>
        </w:rPr>
      </w:pPr>
      <w:r w:rsidRPr="00247DE9">
        <w:rPr>
          <w:b/>
          <w:sz w:val="24"/>
          <w:szCs w:val="24"/>
          <w:lang w:val="lt-LT"/>
        </w:rPr>
        <w:t>SPRENDIMAS</w:t>
      </w:r>
    </w:p>
    <w:p w14:paraId="05DA7B53" w14:textId="664015CC" w:rsidR="00A36941" w:rsidRPr="00247DE9" w:rsidRDefault="009108CD" w:rsidP="00A36941">
      <w:pPr>
        <w:jc w:val="center"/>
        <w:rPr>
          <w:b/>
          <w:sz w:val="24"/>
          <w:szCs w:val="24"/>
          <w:lang w:val="lt-LT"/>
        </w:rPr>
      </w:pPr>
      <w:r w:rsidRPr="00247DE9">
        <w:rPr>
          <w:b/>
          <w:sz w:val="24"/>
          <w:szCs w:val="24"/>
          <w:lang w:val="lt-LT"/>
        </w:rPr>
        <w:t>DĖL PRITARIMO</w:t>
      </w:r>
      <w:r w:rsidR="00A36941" w:rsidRPr="00247DE9">
        <w:rPr>
          <w:b/>
          <w:sz w:val="24"/>
          <w:szCs w:val="24"/>
          <w:lang w:val="lt-LT"/>
        </w:rPr>
        <w:t xml:space="preserve"> </w:t>
      </w:r>
      <w:r w:rsidR="00074117" w:rsidRPr="00247DE9">
        <w:rPr>
          <w:b/>
          <w:sz w:val="24"/>
          <w:szCs w:val="24"/>
          <w:lang w:val="lt-LT"/>
        </w:rPr>
        <w:t>UŽDAROSIOS AKCINĖS BENDROVĖS „ROKIŠKIO AUTOBUSŲ PARKAS“</w:t>
      </w:r>
      <w:r w:rsidR="00CA7F4C" w:rsidRPr="00247DE9">
        <w:rPr>
          <w:b/>
          <w:sz w:val="24"/>
          <w:szCs w:val="24"/>
          <w:lang w:val="lt-LT"/>
        </w:rPr>
        <w:t xml:space="preserve"> </w:t>
      </w:r>
      <w:r w:rsidR="00A36941" w:rsidRPr="00247DE9">
        <w:rPr>
          <w:b/>
          <w:sz w:val="24"/>
          <w:szCs w:val="24"/>
          <w:lang w:val="lt-LT"/>
        </w:rPr>
        <w:t>20</w:t>
      </w:r>
      <w:r w:rsidR="00185B15" w:rsidRPr="00247DE9">
        <w:rPr>
          <w:b/>
          <w:sz w:val="24"/>
          <w:szCs w:val="24"/>
          <w:lang w:val="lt-LT"/>
        </w:rPr>
        <w:t>20</w:t>
      </w:r>
      <w:r w:rsidRPr="00247DE9">
        <w:rPr>
          <w:b/>
          <w:sz w:val="24"/>
          <w:szCs w:val="24"/>
          <w:lang w:val="lt-LT"/>
        </w:rPr>
        <w:t xml:space="preserve"> </w:t>
      </w:r>
      <w:r w:rsidR="00A36941" w:rsidRPr="00247DE9">
        <w:rPr>
          <w:b/>
          <w:sz w:val="24"/>
          <w:szCs w:val="24"/>
          <w:lang w:val="lt-LT"/>
        </w:rPr>
        <w:t>METŲ VEIKLOS ATASKAITAI</w:t>
      </w:r>
    </w:p>
    <w:p w14:paraId="05DA7B54" w14:textId="77777777" w:rsidR="00187088" w:rsidRPr="00247DE9" w:rsidRDefault="00187088" w:rsidP="00187088">
      <w:pPr>
        <w:ind w:right="197"/>
        <w:jc w:val="center"/>
        <w:rPr>
          <w:sz w:val="24"/>
          <w:szCs w:val="24"/>
          <w:lang w:val="lt-LT"/>
        </w:rPr>
      </w:pPr>
    </w:p>
    <w:p w14:paraId="05DA7B55" w14:textId="18318581" w:rsidR="00187088" w:rsidRPr="00247DE9" w:rsidRDefault="00187088" w:rsidP="00187088">
      <w:pPr>
        <w:ind w:right="197"/>
        <w:jc w:val="center"/>
        <w:rPr>
          <w:sz w:val="24"/>
          <w:szCs w:val="24"/>
          <w:lang w:val="lt-LT"/>
        </w:rPr>
      </w:pPr>
      <w:r w:rsidRPr="00247DE9">
        <w:rPr>
          <w:sz w:val="24"/>
          <w:szCs w:val="24"/>
          <w:lang w:val="lt-LT"/>
        </w:rPr>
        <w:t>20</w:t>
      </w:r>
      <w:r w:rsidR="00620389" w:rsidRPr="00247DE9">
        <w:rPr>
          <w:sz w:val="24"/>
          <w:szCs w:val="24"/>
          <w:lang w:val="lt-LT"/>
        </w:rPr>
        <w:t>2</w:t>
      </w:r>
      <w:r w:rsidR="00185B15" w:rsidRPr="00247DE9">
        <w:rPr>
          <w:sz w:val="24"/>
          <w:szCs w:val="24"/>
          <w:lang w:val="lt-LT"/>
        </w:rPr>
        <w:t>1</w:t>
      </w:r>
      <w:r w:rsidRPr="00247DE9">
        <w:rPr>
          <w:sz w:val="24"/>
          <w:szCs w:val="24"/>
          <w:lang w:val="lt-LT"/>
        </w:rPr>
        <w:t xml:space="preserve"> m. </w:t>
      </w:r>
      <w:r w:rsidR="00A36941" w:rsidRPr="00247DE9">
        <w:rPr>
          <w:sz w:val="24"/>
          <w:szCs w:val="24"/>
          <w:lang w:val="lt-LT"/>
        </w:rPr>
        <w:t xml:space="preserve">balandžio </w:t>
      </w:r>
      <w:r w:rsidR="00185B15" w:rsidRPr="00247DE9">
        <w:rPr>
          <w:sz w:val="24"/>
          <w:szCs w:val="24"/>
          <w:lang w:val="lt-LT"/>
        </w:rPr>
        <w:t>30</w:t>
      </w:r>
      <w:r w:rsidRPr="00247DE9">
        <w:rPr>
          <w:sz w:val="24"/>
          <w:szCs w:val="24"/>
          <w:lang w:val="lt-LT"/>
        </w:rPr>
        <w:t xml:space="preserve"> d. Nr. TS-</w:t>
      </w:r>
    </w:p>
    <w:p w14:paraId="05DA7B56" w14:textId="77777777" w:rsidR="00187088" w:rsidRPr="00247DE9" w:rsidRDefault="00187088" w:rsidP="00187088">
      <w:pPr>
        <w:ind w:right="197"/>
        <w:jc w:val="center"/>
        <w:rPr>
          <w:sz w:val="24"/>
          <w:szCs w:val="24"/>
          <w:lang w:val="lt-LT"/>
        </w:rPr>
      </w:pPr>
      <w:r w:rsidRPr="00247DE9">
        <w:rPr>
          <w:sz w:val="24"/>
          <w:szCs w:val="24"/>
          <w:lang w:val="lt-LT"/>
        </w:rPr>
        <w:t>Rokiškis</w:t>
      </w:r>
    </w:p>
    <w:p w14:paraId="05DA7B57" w14:textId="77777777" w:rsidR="00187088" w:rsidRDefault="00187088" w:rsidP="00187088">
      <w:pPr>
        <w:pStyle w:val="Antrat1"/>
        <w:ind w:firstLine="720"/>
        <w:jc w:val="both"/>
        <w:rPr>
          <w:sz w:val="24"/>
          <w:szCs w:val="24"/>
          <w:lang w:val="lt-LT"/>
        </w:rPr>
      </w:pPr>
    </w:p>
    <w:p w14:paraId="4391205B" w14:textId="77777777" w:rsidR="00706BB8" w:rsidRPr="00706BB8" w:rsidRDefault="00706BB8" w:rsidP="00706BB8">
      <w:pPr>
        <w:rPr>
          <w:lang w:val="lt-LT" w:eastAsia="x-none"/>
        </w:rPr>
      </w:pPr>
    </w:p>
    <w:p w14:paraId="05DA7B58" w14:textId="2B348F84" w:rsidR="009108CD" w:rsidRPr="00247DE9" w:rsidRDefault="00A36941" w:rsidP="00A36941">
      <w:pPr>
        <w:pStyle w:val="Default"/>
        <w:ind w:firstLine="851"/>
        <w:jc w:val="both"/>
      </w:pPr>
      <w:r w:rsidRPr="00247DE9">
        <w:t>Vadovaudamasi Lietuvos Respublikos vietos savivaldos įstatymo 16 straipsnio 2 dalies 19 punktu ir Rokiš</w:t>
      </w:r>
      <w:r w:rsidR="009108CD" w:rsidRPr="00247DE9">
        <w:t>kio rajono savivaldybės tarybos</w:t>
      </w:r>
      <w:r w:rsidRPr="00247DE9">
        <w:t xml:space="preserve"> </w:t>
      </w:r>
      <w:r w:rsidRPr="00247DE9">
        <w:rPr>
          <w:lang w:eastAsia="ar-SA"/>
        </w:rPr>
        <w:t>201</w:t>
      </w:r>
      <w:r w:rsidR="00620389" w:rsidRPr="00247DE9">
        <w:rPr>
          <w:lang w:eastAsia="ar-SA"/>
        </w:rPr>
        <w:t xml:space="preserve">9 m. kovo 29 d. sprendimu Nr. TS-43 </w:t>
      </w:r>
      <w:r w:rsidRPr="00247DE9">
        <w:t>,,Dėl Rokiškio rajono savivaldybės tarybos veiklos reglamento patvirtinimo</w:t>
      </w:r>
      <w:r w:rsidR="004D4B64" w:rsidRPr="00247DE9">
        <w:t xml:space="preserve">“ </w:t>
      </w:r>
      <w:r w:rsidRPr="00247DE9">
        <w:t>patvirtinto Rokiškio rajono savivaldybės tarybos veiklos</w:t>
      </w:r>
      <w:r w:rsidR="009108CD" w:rsidRPr="00247DE9">
        <w:t xml:space="preserve"> reglamento 2</w:t>
      </w:r>
      <w:r w:rsidR="004E48E7" w:rsidRPr="00247DE9">
        <w:t>7</w:t>
      </w:r>
      <w:r w:rsidR="00620389" w:rsidRPr="00247DE9">
        <w:t>3 ir 276 punktais</w:t>
      </w:r>
      <w:r w:rsidR="009108CD" w:rsidRPr="00247DE9">
        <w:t xml:space="preserve">, </w:t>
      </w:r>
      <w:r w:rsidRPr="00247DE9">
        <w:t xml:space="preserve">Rokiškio rajono savivaldybės taryba  </w:t>
      </w:r>
    </w:p>
    <w:p w14:paraId="3672DC0F" w14:textId="77777777" w:rsidR="004D4B64" w:rsidRPr="00247DE9" w:rsidRDefault="00A36941" w:rsidP="004D4B64">
      <w:pPr>
        <w:pStyle w:val="Default"/>
        <w:jc w:val="both"/>
      </w:pPr>
      <w:r w:rsidRPr="00247DE9">
        <w:t>n u s p r e n d ž i a:</w:t>
      </w:r>
    </w:p>
    <w:p w14:paraId="2BCAC29D" w14:textId="343845A9" w:rsidR="004D4B64" w:rsidRPr="00247DE9" w:rsidRDefault="004D4B64" w:rsidP="004D4B64">
      <w:pPr>
        <w:pStyle w:val="Default"/>
        <w:jc w:val="both"/>
      </w:pPr>
      <w:r w:rsidRPr="00247DE9">
        <w:tab/>
        <w:t xml:space="preserve">1. </w:t>
      </w:r>
      <w:r w:rsidR="009108CD" w:rsidRPr="00247DE9">
        <w:t>P</w:t>
      </w:r>
      <w:r w:rsidR="00A36941" w:rsidRPr="00247DE9">
        <w:t xml:space="preserve">ritarti </w:t>
      </w:r>
      <w:r w:rsidR="00074117" w:rsidRPr="00247DE9">
        <w:t xml:space="preserve">uždarosios akcinės bendrovės „Rokiškio autobusų parkas“ </w:t>
      </w:r>
      <w:r w:rsidR="00A36941" w:rsidRPr="00247DE9">
        <w:t>20</w:t>
      </w:r>
      <w:r w:rsidR="00185B15" w:rsidRPr="00247DE9">
        <w:t>20</w:t>
      </w:r>
      <w:r w:rsidR="009108CD" w:rsidRPr="00247DE9">
        <w:t xml:space="preserve"> metų </w:t>
      </w:r>
      <w:r w:rsidR="00A36941" w:rsidRPr="00247DE9">
        <w:t>veiklos ataskaitai (pridedama).</w:t>
      </w:r>
    </w:p>
    <w:p w14:paraId="5E4A699A" w14:textId="77777777" w:rsidR="004D4B64" w:rsidRPr="00247DE9" w:rsidRDefault="004D4B64" w:rsidP="004D4B64">
      <w:pPr>
        <w:pStyle w:val="Default"/>
        <w:jc w:val="both"/>
      </w:pPr>
      <w:r w:rsidRPr="00247DE9">
        <w:tab/>
        <w:t xml:space="preserve">2. </w:t>
      </w:r>
      <w:r w:rsidR="00620389" w:rsidRPr="00247DE9">
        <w:t xml:space="preserve">Sprendimą </w:t>
      </w:r>
      <w:r w:rsidR="009108CD" w:rsidRPr="00247DE9">
        <w:t xml:space="preserve">skelbti savivaldybės interneto svetainėje </w:t>
      </w:r>
      <w:hyperlink r:id="rId9" w:history="1">
        <w:r w:rsidR="009108CD" w:rsidRPr="00247DE9">
          <w:rPr>
            <w:rStyle w:val="Hipersaitas"/>
          </w:rPr>
          <w:t>www.rokiskis.lt</w:t>
        </w:r>
      </w:hyperlink>
      <w:r w:rsidR="009108CD" w:rsidRPr="00247DE9">
        <w:t>.</w:t>
      </w:r>
    </w:p>
    <w:p w14:paraId="05DA7B5C" w14:textId="1EB2F406" w:rsidR="00CB1B62" w:rsidRPr="00247DE9" w:rsidRDefault="004D4B64" w:rsidP="004D4B64">
      <w:pPr>
        <w:pStyle w:val="Default"/>
        <w:jc w:val="both"/>
      </w:pPr>
      <w:r w:rsidRPr="00247DE9">
        <w:tab/>
      </w:r>
      <w:r w:rsidR="009108CD" w:rsidRPr="00247DE9">
        <w:t xml:space="preserve">Sprendimas </w:t>
      </w:r>
      <w:r w:rsidR="00CB1B62" w:rsidRPr="00247DE9">
        <w:t>per vieną mėnesį gali būti skundžiamas Regionų apygardos administraciniam teismui, skundą (prašymą) paduodant bet kuriuose šio teismo rūmuose, Lietuvos Respublikos administracinių bylų teisenos įstatymo nustatyta tvarka.</w:t>
      </w:r>
    </w:p>
    <w:p w14:paraId="05DA7B5D" w14:textId="77777777" w:rsidR="00187088" w:rsidRPr="00247DE9" w:rsidRDefault="00187088" w:rsidP="00D24487">
      <w:pPr>
        <w:ind w:firstLine="720"/>
        <w:jc w:val="both"/>
        <w:rPr>
          <w:sz w:val="24"/>
          <w:szCs w:val="24"/>
          <w:lang w:val="lt-LT"/>
        </w:rPr>
      </w:pPr>
    </w:p>
    <w:p w14:paraId="05DA7B5E" w14:textId="77777777" w:rsidR="00187088" w:rsidRDefault="00187088" w:rsidP="00187088">
      <w:pPr>
        <w:ind w:right="197"/>
        <w:rPr>
          <w:sz w:val="24"/>
          <w:szCs w:val="24"/>
          <w:lang w:val="lt-LT"/>
        </w:rPr>
      </w:pPr>
    </w:p>
    <w:p w14:paraId="31931674" w14:textId="77777777" w:rsidR="00706BB8" w:rsidRPr="00247DE9" w:rsidRDefault="00706BB8" w:rsidP="00187088">
      <w:pPr>
        <w:ind w:right="197"/>
        <w:rPr>
          <w:sz w:val="24"/>
          <w:szCs w:val="24"/>
          <w:lang w:val="lt-LT"/>
        </w:rPr>
      </w:pPr>
    </w:p>
    <w:p w14:paraId="05DA7B5F" w14:textId="77777777" w:rsidR="00187088" w:rsidRPr="00247DE9" w:rsidRDefault="00187088" w:rsidP="00187088">
      <w:pPr>
        <w:ind w:right="197"/>
        <w:rPr>
          <w:sz w:val="24"/>
          <w:szCs w:val="24"/>
          <w:lang w:val="lt-LT"/>
        </w:rPr>
      </w:pPr>
    </w:p>
    <w:p w14:paraId="05DA7B60" w14:textId="77777777" w:rsidR="00187088" w:rsidRPr="00247DE9" w:rsidRDefault="00187088" w:rsidP="00187088">
      <w:pPr>
        <w:ind w:right="197"/>
        <w:rPr>
          <w:sz w:val="24"/>
          <w:szCs w:val="24"/>
          <w:lang w:val="lt-LT"/>
        </w:rPr>
      </w:pPr>
      <w:r w:rsidRPr="00247DE9">
        <w:rPr>
          <w:sz w:val="24"/>
          <w:szCs w:val="24"/>
          <w:lang w:val="lt-LT"/>
        </w:rPr>
        <w:t>Savivaldybės meras</w:t>
      </w:r>
      <w:r w:rsidRPr="00247DE9">
        <w:rPr>
          <w:sz w:val="24"/>
          <w:szCs w:val="24"/>
          <w:lang w:val="lt-LT"/>
        </w:rPr>
        <w:tab/>
      </w:r>
      <w:r w:rsidRPr="00247DE9">
        <w:rPr>
          <w:sz w:val="24"/>
          <w:szCs w:val="24"/>
          <w:lang w:val="lt-LT"/>
        </w:rPr>
        <w:tab/>
      </w:r>
      <w:r w:rsidRPr="00247DE9">
        <w:rPr>
          <w:sz w:val="24"/>
          <w:szCs w:val="24"/>
          <w:lang w:val="lt-LT"/>
        </w:rPr>
        <w:tab/>
      </w:r>
      <w:r w:rsidRPr="00247DE9">
        <w:rPr>
          <w:sz w:val="24"/>
          <w:szCs w:val="24"/>
          <w:lang w:val="lt-LT"/>
        </w:rPr>
        <w:tab/>
      </w:r>
      <w:r w:rsidRPr="00247DE9">
        <w:rPr>
          <w:sz w:val="24"/>
          <w:szCs w:val="24"/>
          <w:lang w:val="lt-LT"/>
        </w:rPr>
        <w:tab/>
      </w:r>
      <w:r w:rsidRPr="00247DE9">
        <w:rPr>
          <w:sz w:val="24"/>
          <w:szCs w:val="24"/>
          <w:lang w:val="lt-LT"/>
        </w:rPr>
        <w:tab/>
      </w:r>
      <w:r w:rsidRPr="00247DE9">
        <w:rPr>
          <w:sz w:val="24"/>
          <w:szCs w:val="24"/>
          <w:lang w:val="lt-LT"/>
        </w:rPr>
        <w:tab/>
      </w:r>
      <w:r w:rsidR="009108CD" w:rsidRPr="00247DE9">
        <w:rPr>
          <w:sz w:val="24"/>
          <w:szCs w:val="24"/>
          <w:lang w:val="lt-LT"/>
        </w:rPr>
        <w:t>Ramūnas Godeliauskas</w:t>
      </w:r>
    </w:p>
    <w:p w14:paraId="05DA7B61" w14:textId="77777777" w:rsidR="00187088" w:rsidRPr="00247DE9" w:rsidRDefault="00187088" w:rsidP="00187088">
      <w:pPr>
        <w:ind w:right="197"/>
        <w:rPr>
          <w:sz w:val="24"/>
          <w:szCs w:val="24"/>
          <w:lang w:val="lt-LT"/>
        </w:rPr>
      </w:pPr>
    </w:p>
    <w:p w14:paraId="05DA7B62" w14:textId="77777777" w:rsidR="00187088" w:rsidRPr="00247DE9" w:rsidRDefault="00187088" w:rsidP="00187088">
      <w:pPr>
        <w:ind w:right="197"/>
        <w:rPr>
          <w:sz w:val="24"/>
          <w:szCs w:val="24"/>
          <w:lang w:val="lt-LT"/>
        </w:rPr>
      </w:pPr>
    </w:p>
    <w:p w14:paraId="05DA7B63" w14:textId="77777777" w:rsidR="00187088" w:rsidRPr="00247DE9" w:rsidRDefault="00187088" w:rsidP="00187088">
      <w:pPr>
        <w:ind w:right="197"/>
        <w:rPr>
          <w:sz w:val="24"/>
          <w:szCs w:val="24"/>
          <w:lang w:val="lt-LT"/>
        </w:rPr>
      </w:pPr>
    </w:p>
    <w:p w14:paraId="05DA7B64" w14:textId="77777777" w:rsidR="00187088" w:rsidRPr="00247DE9" w:rsidRDefault="00187088" w:rsidP="00187088">
      <w:pPr>
        <w:ind w:right="197"/>
        <w:rPr>
          <w:sz w:val="24"/>
          <w:szCs w:val="24"/>
          <w:lang w:val="lt-LT"/>
        </w:rPr>
      </w:pPr>
    </w:p>
    <w:p w14:paraId="05DA7B65" w14:textId="77777777" w:rsidR="00187088" w:rsidRPr="00247DE9" w:rsidRDefault="00187088" w:rsidP="00187088">
      <w:pPr>
        <w:ind w:right="197"/>
        <w:rPr>
          <w:sz w:val="24"/>
          <w:szCs w:val="24"/>
          <w:lang w:val="lt-LT"/>
        </w:rPr>
      </w:pPr>
    </w:p>
    <w:p w14:paraId="05DA7B66" w14:textId="77777777" w:rsidR="00187088" w:rsidRPr="00247DE9" w:rsidRDefault="00187088" w:rsidP="00187088">
      <w:pPr>
        <w:ind w:right="197"/>
        <w:rPr>
          <w:sz w:val="24"/>
          <w:szCs w:val="24"/>
          <w:lang w:val="lt-LT"/>
        </w:rPr>
      </w:pPr>
    </w:p>
    <w:p w14:paraId="05DA7B67" w14:textId="77777777" w:rsidR="00187088" w:rsidRPr="00247DE9" w:rsidRDefault="00187088" w:rsidP="00187088">
      <w:pPr>
        <w:ind w:right="197"/>
        <w:rPr>
          <w:sz w:val="24"/>
          <w:szCs w:val="24"/>
          <w:lang w:val="lt-LT"/>
        </w:rPr>
      </w:pPr>
    </w:p>
    <w:p w14:paraId="05DA7B68" w14:textId="77777777" w:rsidR="00187088" w:rsidRPr="00247DE9" w:rsidRDefault="00187088" w:rsidP="00187088">
      <w:pPr>
        <w:ind w:right="197"/>
        <w:rPr>
          <w:sz w:val="24"/>
          <w:szCs w:val="24"/>
          <w:lang w:val="lt-LT"/>
        </w:rPr>
      </w:pPr>
    </w:p>
    <w:p w14:paraId="05DA7B69" w14:textId="77777777" w:rsidR="00187088" w:rsidRPr="00247DE9" w:rsidRDefault="00187088" w:rsidP="00187088">
      <w:pPr>
        <w:ind w:right="197"/>
        <w:rPr>
          <w:sz w:val="24"/>
          <w:szCs w:val="24"/>
          <w:lang w:val="lt-LT"/>
        </w:rPr>
      </w:pPr>
    </w:p>
    <w:p w14:paraId="05DA7B6A" w14:textId="77777777" w:rsidR="00187088" w:rsidRPr="00247DE9" w:rsidRDefault="00187088" w:rsidP="00187088">
      <w:pPr>
        <w:ind w:right="197"/>
        <w:rPr>
          <w:sz w:val="24"/>
          <w:szCs w:val="24"/>
          <w:lang w:val="lt-LT"/>
        </w:rPr>
      </w:pPr>
    </w:p>
    <w:p w14:paraId="05DA7B6B" w14:textId="77777777" w:rsidR="00187088" w:rsidRPr="00247DE9" w:rsidRDefault="00187088" w:rsidP="00187088">
      <w:pPr>
        <w:ind w:right="197"/>
        <w:rPr>
          <w:sz w:val="24"/>
          <w:szCs w:val="24"/>
          <w:lang w:val="lt-LT"/>
        </w:rPr>
      </w:pPr>
    </w:p>
    <w:p w14:paraId="05DA7B6C" w14:textId="77777777" w:rsidR="00187088" w:rsidRPr="00247DE9" w:rsidRDefault="00187088" w:rsidP="00187088">
      <w:pPr>
        <w:ind w:right="197"/>
        <w:rPr>
          <w:sz w:val="24"/>
          <w:szCs w:val="24"/>
          <w:lang w:val="lt-LT"/>
        </w:rPr>
      </w:pPr>
    </w:p>
    <w:p w14:paraId="05DA7B6D" w14:textId="77777777" w:rsidR="00187088" w:rsidRPr="00247DE9" w:rsidRDefault="00187088" w:rsidP="00187088">
      <w:pPr>
        <w:ind w:right="197"/>
        <w:rPr>
          <w:sz w:val="24"/>
          <w:szCs w:val="24"/>
          <w:lang w:val="lt-LT"/>
        </w:rPr>
      </w:pPr>
    </w:p>
    <w:p w14:paraId="05DA7B6E" w14:textId="77777777" w:rsidR="00187088" w:rsidRPr="00247DE9" w:rsidRDefault="00187088" w:rsidP="00187088">
      <w:pPr>
        <w:ind w:right="197"/>
        <w:rPr>
          <w:sz w:val="24"/>
          <w:szCs w:val="24"/>
          <w:lang w:val="lt-LT"/>
        </w:rPr>
      </w:pPr>
    </w:p>
    <w:p w14:paraId="05DA7B6F" w14:textId="77777777" w:rsidR="00D52072" w:rsidRPr="00247DE9" w:rsidRDefault="00D52072" w:rsidP="00187088">
      <w:pPr>
        <w:ind w:right="197"/>
        <w:rPr>
          <w:sz w:val="24"/>
          <w:szCs w:val="24"/>
          <w:lang w:val="lt-LT"/>
        </w:rPr>
      </w:pPr>
    </w:p>
    <w:p w14:paraId="05DA7B70" w14:textId="77777777" w:rsidR="00A36941" w:rsidRPr="00247DE9" w:rsidRDefault="00A36941" w:rsidP="00187088">
      <w:pPr>
        <w:ind w:right="197"/>
        <w:rPr>
          <w:sz w:val="24"/>
          <w:szCs w:val="24"/>
          <w:lang w:val="lt-LT"/>
        </w:rPr>
      </w:pPr>
    </w:p>
    <w:p w14:paraId="05DA7B71" w14:textId="77777777" w:rsidR="00A36941" w:rsidRPr="00247DE9" w:rsidRDefault="00A36941" w:rsidP="00187088">
      <w:pPr>
        <w:ind w:right="197"/>
        <w:rPr>
          <w:sz w:val="24"/>
          <w:szCs w:val="24"/>
          <w:lang w:val="lt-LT"/>
        </w:rPr>
      </w:pPr>
    </w:p>
    <w:p w14:paraId="05DA7B72" w14:textId="77777777" w:rsidR="00A36941" w:rsidRPr="00247DE9" w:rsidRDefault="00A36941" w:rsidP="00187088">
      <w:pPr>
        <w:ind w:right="197"/>
        <w:rPr>
          <w:sz w:val="24"/>
          <w:szCs w:val="24"/>
          <w:lang w:val="lt-LT"/>
        </w:rPr>
      </w:pPr>
    </w:p>
    <w:p w14:paraId="05DA7B73" w14:textId="77777777" w:rsidR="00A36941" w:rsidRPr="00247DE9" w:rsidRDefault="00A36941" w:rsidP="00187088">
      <w:pPr>
        <w:ind w:right="197"/>
        <w:rPr>
          <w:sz w:val="24"/>
          <w:szCs w:val="24"/>
          <w:lang w:val="lt-LT"/>
        </w:rPr>
      </w:pPr>
    </w:p>
    <w:p w14:paraId="05DA7B74" w14:textId="77777777" w:rsidR="00A36941" w:rsidRPr="00247DE9" w:rsidRDefault="00A36941" w:rsidP="00187088">
      <w:pPr>
        <w:ind w:right="197"/>
        <w:rPr>
          <w:sz w:val="24"/>
          <w:szCs w:val="24"/>
          <w:lang w:val="lt-LT"/>
        </w:rPr>
      </w:pPr>
    </w:p>
    <w:p w14:paraId="05DA7B75" w14:textId="77777777" w:rsidR="00A36941" w:rsidRDefault="00A36941" w:rsidP="00187088">
      <w:pPr>
        <w:ind w:right="197"/>
        <w:rPr>
          <w:sz w:val="24"/>
          <w:szCs w:val="24"/>
          <w:lang w:val="lt-LT"/>
        </w:rPr>
      </w:pPr>
    </w:p>
    <w:p w14:paraId="21445E3C" w14:textId="77777777" w:rsidR="00E7572C" w:rsidRPr="00247DE9" w:rsidRDefault="00E7572C" w:rsidP="00187088">
      <w:pPr>
        <w:ind w:right="197"/>
        <w:rPr>
          <w:sz w:val="24"/>
          <w:szCs w:val="24"/>
          <w:lang w:val="lt-LT"/>
        </w:rPr>
      </w:pPr>
    </w:p>
    <w:p w14:paraId="05DA7B77" w14:textId="77777777" w:rsidR="00A36941" w:rsidRPr="00247DE9" w:rsidRDefault="00A36941" w:rsidP="00187088">
      <w:pPr>
        <w:ind w:right="197"/>
        <w:rPr>
          <w:sz w:val="24"/>
          <w:szCs w:val="24"/>
          <w:lang w:val="lt-LT"/>
        </w:rPr>
      </w:pPr>
    </w:p>
    <w:p w14:paraId="05DA7B78" w14:textId="77777777" w:rsidR="00074117" w:rsidRPr="00247DE9" w:rsidRDefault="005D655F" w:rsidP="00074117">
      <w:pPr>
        <w:ind w:right="197"/>
        <w:rPr>
          <w:sz w:val="24"/>
          <w:szCs w:val="24"/>
          <w:lang w:val="lt-LT"/>
        </w:rPr>
      </w:pPr>
      <w:r w:rsidRPr="00247DE9">
        <w:rPr>
          <w:sz w:val="24"/>
          <w:szCs w:val="24"/>
          <w:lang w:val="lt-LT"/>
        </w:rPr>
        <w:t>Violeta Bieliūnaitė-Vanagienė</w:t>
      </w:r>
    </w:p>
    <w:p w14:paraId="05DA7B7B" w14:textId="77777777" w:rsidR="00A36941" w:rsidRPr="00247DE9" w:rsidRDefault="00A36941" w:rsidP="00706BB8">
      <w:pPr>
        <w:ind w:left="4963" w:hanging="1"/>
        <w:rPr>
          <w:sz w:val="24"/>
          <w:szCs w:val="24"/>
          <w:lang w:val="lt-LT"/>
        </w:rPr>
      </w:pPr>
      <w:r w:rsidRPr="00247DE9">
        <w:rPr>
          <w:sz w:val="24"/>
          <w:szCs w:val="24"/>
          <w:lang w:val="lt-LT"/>
        </w:rPr>
        <w:lastRenderedPageBreak/>
        <w:t xml:space="preserve">PRITARTA </w:t>
      </w:r>
    </w:p>
    <w:p w14:paraId="05DA7B7C" w14:textId="77777777" w:rsidR="00A36941" w:rsidRPr="00247DE9" w:rsidRDefault="00A36941" w:rsidP="00706BB8">
      <w:pPr>
        <w:ind w:left="4963" w:hanging="1"/>
        <w:rPr>
          <w:sz w:val="24"/>
          <w:szCs w:val="24"/>
          <w:lang w:val="lt-LT"/>
        </w:rPr>
      </w:pPr>
      <w:r w:rsidRPr="00247DE9">
        <w:rPr>
          <w:sz w:val="24"/>
          <w:szCs w:val="24"/>
          <w:lang w:val="lt-LT"/>
        </w:rPr>
        <w:t>Rokiškio rajono savivaldybės tarybos</w:t>
      </w:r>
    </w:p>
    <w:p w14:paraId="05DA7B7E" w14:textId="72D14059" w:rsidR="00A36941" w:rsidRPr="00247DE9" w:rsidRDefault="00A36941" w:rsidP="00706BB8">
      <w:pPr>
        <w:ind w:left="4963" w:hanging="1"/>
        <w:rPr>
          <w:sz w:val="24"/>
          <w:szCs w:val="24"/>
          <w:lang w:val="lt-LT"/>
        </w:rPr>
      </w:pPr>
      <w:r w:rsidRPr="00247DE9">
        <w:rPr>
          <w:sz w:val="24"/>
          <w:szCs w:val="24"/>
          <w:lang w:val="lt-LT"/>
        </w:rPr>
        <w:t>20</w:t>
      </w:r>
      <w:r w:rsidR="00620389" w:rsidRPr="00247DE9">
        <w:rPr>
          <w:sz w:val="24"/>
          <w:szCs w:val="24"/>
          <w:lang w:val="lt-LT"/>
        </w:rPr>
        <w:t>2</w:t>
      </w:r>
      <w:r w:rsidR="00185B15" w:rsidRPr="00247DE9">
        <w:rPr>
          <w:sz w:val="24"/>
          <w:szCs w:val="24"/>
          <w:lang w:val="lt-LT"/>
        </w:rPr>
        <w:t>1 m. balandžio 30</w:t>
      </w:r>
      <w:r w:rsidRPr="00247DE9">
        <w:rPr>
          <w:sz w:val="24"/>
          <w:szCs w:val="24"/>
          <w:lang w:val="lt-LT"/>
        </w:rPr>
        <w:t xml:space="preserve"> d. </w:t>
      </w:r>
      <w:bookmarkStart w:id="0" w:name="_GoBack"/>
      <w:bookmarkEnd w:id="0"/>
      <w:r w:rsidRPr="00247DE9">
        <w:rPr>
          <w:sz w:val="24"/>
          <w:szCs w:val="24"/>
          <w:lang w:val="lt-LT"/>
        </w:rPr>
        <w:t>sprendimu Nr. TS-</w:t>
      </w:r>
    </w:p>
    <w:p w14:paraId="05DA7B80" w14:textId="77777777" w:rsidR="003815FC" w:rsidRPr="00247DE9" w:rsidRDefault="003815FC" w:rsidP="004E48E7">
      <w:pPr>
        <w:tabs>
          <w:tab w:val="left" w:pos="630"/>
        </w:tabs>
        <w:jc w:val="center"/>
        <w:rPr>
          <w:b/>
          <w:sz w:val="24"/>
          <w:szCs w:val="24"/>
          <w:lang w:val="lt-LT" w:eastAsia="en-US"/>
        </w:rPr>
      </w:pPr>
    </w:p>
    <w:p w14:paraId="5625D8E8" w14:textId="77777777" w:rsidR="00185B15" w:rsidRPr="00247DE9" w:rsidRDefault="00185B15" w:rsidP="00185B15">
      <w:pPr>
        <w:pStyle w:val="Antrats"/>
        <w:jc w:val="center"/>
        <w:rPr>
          <w:sz w:val="24"/>
          <w:szCs w:val="24"/>
        </w:rPr>
      </w:pPr>
      <w:r w:rsidRPr="00247DE9">
        <w:rPr>
          <w:b/>
          <w:bCs/>
          <w:sz w:val="24"/>
          <w:szCs w:val="24"/>
        </w:rPr>
        <w:t xml:space="preserve">UŽDAROSIOS AKCINĖS BENDROVĖS </w:t>
      </w:r>
      <w:r w:rsidRPr="00247DE9">
        <w:rPr>
          <w:b/>
          <w:bCs/>
          <w:color w:val="000000"/>
          <w:sz w:val="24"/>
          <w:szCs w:val="24"/>
        </w:rPr>
        <w:t>„ROKIŠKIO AUTOBUSŲ PARKAS”</w:t>
      </w:r>
    </w:p>
    <w:p w14:paraId="04FF16CC" w14:textId="77777777" w:rsidR="00185B15" w:rsidRPr="00247DE9" w:rsidRDefault="00185B15" w:rsidP="00185B15">
      <w:pPr>
        <w:jc w:val="center"/>
        <w:rPr>
          <w:sz w:val="24"/>
          <w:szCs w:val="24"/>
        </w:rPr>
      </w:pPr>
      <w:r w:rsidRPr="00247DE9">
        <w:rPr>
          <w:b/>
          <w:sz w:val="24"/>
          <w:szCs w:val="24"/>
          <w:lang w:val="lt-LT"/>
        </w:rPr>
        <w:t>2020 M. VEIKLOS ATASKAITA</w:t>
      </w:r>
    </w:p>
    <w:p w14:paraId="491A53C5" w14:textId="77777777" w:rsidR="00185B15" w:rsidRPr="00247DE9" w:rsidRDefault="00185B15" w:rsidP="00185B15">
      <w:pPr>
        <w:jc w:val="center"/>
        <w:rPr>
          <w:b/>
          <w:sz w:val="24"/>
          <w:szCs w:val="24"/>
          <w:lang w:val="lt-LT"/>
        </w:rPr>
      </w:pPr>
    </w:p>
    <w:p w14:paraId="120C873C" w14:textId="77777777" w:rsidR="00185B15" w:rsidRPr="00247DE9" w:rsidRDefault="00185B15" w:rsidP="00185B15">
      <w:pPr>
        <w:jc w:val="center"/>
        <w:rPr>
          <w:sz w:val="24"/>
          <w:szCs w:val="24"/>
          <w:lang w:val="en-US"/>
        </w:rPr>
      </w:pPr>
      <w:r w:rsidRPr="00247DE9">
        <w:rPr>
          <w:rFonts w:eastAsia="Calibri"/>
          <w:b/>
          <w:color w:val="000000"/>
          <w:sz w:val="24"/>
          <w:szCs w:val="24"/>
          <w:lang w:val="lt-LT"/>
        </w:rPr>
        <w:t>BENDROVĖS VALDYMAS</w:t>
      </w:r>
    </w:p>
    <w:p w14:paraId="05ACB409" w14:textId="77777777" w:rsidR="00185B15" w:rsidRPr="00247DE9" w:rsidRDefault="00185B15" w:rsidP="00185B15">
      <w:pPr>
        <w:rPr>
          <w:rFonts w:eastAsia="Calibri"/>
          <w:b/>
          <w:color w:val="000000"/>
          <w:sz w:val="24"/>
          <w:szCs w:val="24"/>
          <w:lang w:val="lt-LT"/>
        </w:rPr>
      </w:pPr>
    </w:p>
    <w:p w14:paraId="4D836954" w14:textId="77777777" w:rsidR="00185B15" w:rsidRPr="00247DE9" w:rsidRDefault="00185B15" w:rsidP="00185B15">
      <w:pPr>
        <w:ind w:firstLine="720"/>
        <w:jc w:val="both"/>
        <w:rPr>
          <w:sz w:val="24"/>
          <w:szCs w:val="24"/>
          <w:lang w:val="en-US"/>
        </w:rPr>
      </w:pPr>
      <w:r w:rsidRPr="00247DE9">
        <w:rPr>
          <w:sz w:val="24"/>
          <w:szCs w:val="24"/>
          <w:lang w:val="lt-LT"/>
        </w:rPr>
        <w:t>Uždaroji akcinė bendrovė „Rokiškio autobusų parkas“ (toliau – Bendrovė) įsteigta 1991 m. gruodžio 19 d. Bendrovė filialų ar atstovybių neturi.</w:t>
      </w:r>
    </w:p>
    <w:p w14:paraId="456C8DDD" w14:textId="77777777" w:rsidR="00185B15" w:rsidRPr="00247DE9" w:rsidRDefault="00185B15" w:rsidP="00185B15">
      <w:pPr>
        <w:ind w:firstLine="720"/>
        <w:jc w:val="both"/>
        <w:rPr>
          <w:sz w:val="24"/>
          <w:szCs w:val="24"/>
        </w:rPr>
      </w:pPr>
      <w:r w:rsidRPr="00247DE9">
        <w:rPr>
          <w:sz w:val="24"/>
          <w:szCs w:val="24"/>
          <w:lang w:val="lt-LT"/>
        </w:rPr>
        <w:t xml:space="preserve">Vienintelis Bendrovės akcininkas – Rokiškio rajono savivaldybė, </w:t>
      </w:r>
      <w:proofErr w:type="spellStart"/>
      <w:r w:rsidRPr="00247DE9">
        <w:rPr>
          <w:sz w:val="24"/>
          <w:szCs w:val="24"/>
          <w:lang w:val="lt-LT"/>
        </w:rPr>
        <w:t>įm.k</w:t>
      </w:r>
      <w:proofErr w:type="spellEnd"/>
      <w:r w:rsidRPr="00247DE9">
        <w:rPr>
          <w:sz w:val="24"/>
          <w:szCs w:val="24"/>
          <w:lang w:val="lt-LT"/>
        </w:rPr>
        <w:t>. 111101681.</w:t>
      </w:r>
    </w:p>
    <w:p w14:paraId="708B22A9" w14:textId="77777777" w:rsidR="00185B15" w:rsidRPr="00247DE9" w:rsidRDefault="00185B15" w:rsidP="00185B15">
      <w:pPr>
        <w:ind w:firstLine="720"/>
        <w:jc w:val="both"/>
        <w:rPr>
          <w:sz w:val="24"/>
          <w:szCs w:val="24"/>
          <w:lang w:val="lt-LT"/>
        </w:rPr>
      </w:pPr>
      <w:r w:rsidRPr="00247DE9">
        <w:rPr>
          <w:sz w:val="24"/>
          <w:szCs w:val="24"/>
          <w:lang w:val="lt-LT"/>
        </w:rPr>
        <w:t>Bendrovės kolegialus valdymo organas 2020 m. pradžioje buvo valdyba, susidedanti iš keturių narių. 2020 m. pabaigoje pagal vienintelio akcininko 2020 m. spalio 19 d. Nr. AV-1081 sprendimą - Valdyba Bendrovėje nesudaroma.</w:t>
      </w:r>
    </w:p>
    <w:p w14:paraId="24BDA342" w14:textId="77777777" w:rsidR="00185B15" w:rsidRPr="00247DE9" w:rsidRDefault="00185B15" w:rsidP="00185B15">
      <w:pPr>
        <w:ind w:firstLine="720"/>
        <w:jc w:val="both"/>
        <w:rPr>
          <w:sz w:val="24"/>
          <w:szCs w:val="24"/>
          <w:lang w:val="en-US"/>
        </w:rPr>
      </w:pPr>
      <w:r w:rsidRPr="00247DE9">
        <w:rPr>
          <w:sz w:val="24"/>
          <w:szCs w:val="24"/>
          <w:lang w:val="lt-LT"/>
        </w:rPr>
        <w:t>Bendrovės vadovas – direktorius Antanas Taparauskas.</w:t>
      </w:r>
    </w:p>
    <w:p w14:paraId="1A2CEA2E" w14:textId="24FE7E38" w:rsidR="00185B15" w:rsidRPr="00247DE9" w:rsidRDefault="00185B15" w:rsidP="00185B15">
      <w:pPr>
        <w:ind w:firstLine="720"/>
        <w:jc w:val="both"/>
        <w:rPr>
          <w:sz w:val="24"/>
          <w:szCs w:val="24"/>
        </w:rPr>
      </w:pPr>
      <w:r w:rsidRPr="00247DE9">
        <w:rPr>
          <w:sz w:val="24"/>
          <w:szCs w:val="24"/>
          <w:lang w:val="lt-LT"/>
        </w:rPr>
        <w:t xml:space="preserve">2020 m. gruodžio 9 d. įregistruoti pakeisti Bendrovės įstatai apie kapitalo pokytį. Įstatinis kapitalas buvo sumažintas iki 157068 Eur, kurį sudaro 16745 paprastųjų vardinių akcijų. Vienos akcijos nominali vertė </w:t>
      </w:r>
      <w:r w:rsidR="00E7572C" w:rsidRPr="00247DE9">
        <w:rPr>
          <w:sz w:val="24"/>
          <w:szCs w:val="24"/>
          <w:lang w:val="lt-LT"/>
        </w:rPr>
        <w:t>–</w:t>
      </w:r>
      <w:r w:rsidRPr="00247DE9">
        <w:rPr>
          <w:sz w:val="24"/>
          <w:szCs w:val="24"/>
          <w:lang w:val="lt-LT"/>
        </w:rPr>
        <w:t xml:space="preserve"> 9,38 Eur. Bendrovės akcijos yra nematerialios ir visos nuosavybės teise priklauso Rokiškio rajono savivaldybei.  </w:t>
      </w:r>
    </w:p>
    <w:p w14:paraId="482099F6" w14:textId="77777777" w:rsidR="00185B15" w:rsidRPr="00247DE9" w:rsidRDefault="00185B15" w:rsidP="00185B15">
      <w:pPr>
        <w:jc w:val="both"/>
        <w:rPr>
          <w:sz w:val="24"/>
          <w:szCs w:val="24"/>
          <w:lang w:val="lt-LT"/>
        </w:rPr>
      </w:pPr>
    </w:p>
    <w:p w14:paraId="25BF5580" w14:textId="77777777" w:rsidR="00185B15" w:rsidRPr="00706BB8" w:rsidRDefault="00185B15" w:rsidP="00185B15">
      <w:pPr>
        <w:jc w:val="center"/>
        <w:rPr>
          <w:sz w:val="24"/>
          <w:szCs w:val="24"/>
          <w:lang w:val="lt-LT"/>
        </w:rPr>
      </w:pPr>
      <w:r w:rsidRPr="00247DE9">
        <w:rPr>
          <w:b/>
          <w:sz w:val="24"/>
          <w:szCs w:val="24"/>
          <w:lang w:val="lt-LT"/>
        </w:rPr>
        <w:t>BENDROVĖS VEIKLOS APIBŪDINIMAS</w:t>
      </w:r>
    </w:p>
    <w:p w14:paraId="383FCEE4" w14:textId="77777777" w:rsidR="00185B15" w:rsidRPr="00247DE9" w:rsidRDefault="00185B15" w:rsidP="00185B15">
      <w:pPr>
        <w:rPr>
          <w:b/>
          <w:sz w:val="24"/>
          <w:szCs w:val="24"/>
          <w:lang w:val="lt-LT"/>
        </w:rPr>
      </w:pPr>
    </w:p>
    <w:p w14:paraId="02F0CDEF" w14:textId="5D963DEF" w:rsidR="00185B15" w:rsidRPr="00706BB8" w:rsidRDefault="00185B15" w:rsidP="00185B15">
      <w:pPr>
        <w:ind w:firstLine="720"/>
        <w:jc w:val="both"/>
        <w:rPr>
          <w:sz w:val="24"/>
          <w:szCs w:val="24"/>
          <w:lang w:val="lt-LT"/>
        </w:rPr>
      </w:pPr>
      <w:r w:rsidRPr="00247DE9">
        <w:rPr>
          <w:sz w:val="24"/>
          <w:szCs w:val="24"/>
          <w:lang w:val="lt-LT"/>
        </w:rPr>
        <w:t xml:space="preserve">Bendrovė </w:t>
      </w:r>
      <w:r w:rsidR="00E7572C" w:rsidRPr="00247DE9">
        <w:rPr>
          <w:sz w:val="24"/>
          <w:szCs w:val="24"/>
          <w:lang w:val="lt-LT"/>
        </w:rPr>
        <w:t>–</w:t>
      </w:r>
      <w:r w:rsidRPr="00247DE9">
        <w:rPr>
          <w:sz w:val="24"/>
          <w:szCs w:val="24"/>
          <w:lang w:val="lt-LT"/>
        </w:rPr>
        <w:t xml:space="preserve"> tai pelno siekianti įmonė, kurios pagrindinė veikla </w:t>
      </w:r>
      <w:r w:rsidR="005C3A76" w:rsidRPr="00247DE9">
        <w:rPr>
          <w:sz w:val="24"/>
          <w:szCs w:val="24"/>
          <w:lang w:val="lt-LT"/>
        </w:rPr>
        <w:t>–</w:t>
      </w:r>
      <w:r w:rsidRPr="00247DE9">
        <w:rPr>
          <w:sz w:val="24"/>
          <w:szCs w:val="24"/>
          <w:lang w:val="lt-LT"/>
        </w:rPr>
        <w:t xml:space="preserve"> keleivių vežimas vietinio (miesto ir priemiestinio), tolimojo reguliaraus susisiekimo autobusų maršrutais, užsakomaisiais reisais ir veikla, susijusia su keleivių vežimu: tai siuntų, bagažo gabenimas, bilietų pardavimas ir kita komercinė veikla (nekilnojamo turto nuoma, reklama), neprieštaraujanti Bendrovės įstatams.</w:t>
      </w:r>
    </w:p>
    <w:p w14:paraId="6B18F9C7" w14:textId="77777777" w:rsidR="00185B15" w:rsidRPr="00706BB8" w:rsidRDefault="00185B15" w:rsidP="00185B15">
      <w:pPr>
        <w:ind w:firstLine="720"/>
        <w:jc w:val="both"/>
        <w:rPr>
          <w:sz w:val="24"/>
          <w:szCs w:val="24"/>
          <w:lang w:val="lt-LT"/>
        </w:rPr>
      </w:pPr>
      <w:r w:rsidRPr="00247DE9">
        <w:rPr>
          <w:sz w:val="24"/>
          <w:szCs w:val="24"/>
          <w:lang w:val="lt-LT"/>
        </w:rPr>
        <w:t>Veiklos vykdymui Bendrovė turi visas reikalingas licencijas ir leidimus. Didžiąją teikiamų paslaugų rinką sudaro Rokiškio miesto ir rajono gyventojai. Viešojo transporto paslaugos turi ypatingą socialinę reikšmę gyventojams, pagal 2000 m. kovo 30 d. Lietuvos Respublikos transporto lengvatų įstatymą Nr. VIII-1605 nemažai daliai keleivių suteikia teisę keliauti su 50 arba 80 proc. nuolaida.</w:t>
      </w:r>
    </w:p>
    <w:p w14:paraId="38332ABA" w14:textId="77777777" w:rsidR="00185B15" w:rsidRPr="00706BB8" w:rsidRDefault="00185B15" w:rsidP="00185B15">
      <w:pPr>
        <w:ind w:firstLine="720"/>
        <w:jc w:val="both"/>
        <w:rPr>
          <w:sz w:val="24"/>
          <w:szCs w:val="24"/>
          <w:lang w:val="lt-LT"/>
        </w:rPr>
      </w:pPr>
      <w:r w:rsidRPr="00247DE9">
        <w:rPr>
          <w:sz w:val="24"/>
          <w:szCs w:val="24"/>
          <w:lang w:val="lt-LT"/>
        </w:rPr>
        <w:t xml:space="preserve">Bendrovė aptarnauja: 2 miesto, 24 priemiestinio, 9 tolimojo reguliaraus susisiekimo maršrutus. Keleivių pervežimui naudojami 44 autobusai. </w:t>
      </w:r>
      <w:r w:rsidRPr="00247DE9">
        <w:rPr>
          <w:rFonts w:eastAsia="Calibri"/>
          <w:color w:val="000000"/>
          <w:sz w:val="24"/>
          <w:szCs w:val="24"/>
          <w:lang w:val="lt-LT"/>
        </w:rPr>
        <w:t xml:space="preserve">Bendras vidutinis autobusų amžius – 27,8 m. Per 2020 m. pervežė 347 tūkst. keleivių – tai yra 55 procentais mažiau nei 2019 m. </w:t>
      </w:r>
      <w:r w:rsidRPr="00247DE9">
        <w:rPr>
          <w:rFonts w:eastAsia="Calibri"/>
          <w:sz w:val="24"/>
          <w:szCs w:val="24"/>
          <w:lang w:val="lt-LT"/>
        </w:rPr>
        <w:t>Keleivių srautas sumažėjo dėl šalyje įvestų karantinų susijusių su pandemija.</w:t>
      </w:r>
    </w:p>
    <w:p w14:paraId="1DFAED7A" w14:textId="77777777" w:rsidR="00185B15" w:rsidRPr="00706BB8" w:rsidRDefault="00185B15" w:rsidP="00185B15">
      <w:pPr>
        <w:ind w:firstLine="720"/>
        <w:jc w:val="both"/>
        <w:rPr>
          <w:sz w:val="24"/>
          <w:szCs w:val="24"/>
          <w:lang w:val="lt-LT"/>
        </w:rPr>
      </w:pPr>
      <w:r w:rsidRPr="00247DE9">
        <w:rPr>
          <w:rFonts w:eastAsia="Calibri"/>
          <w:sz w:val="24"/>
          <w:szCs w:val="24"/>
          <w:lang w:val="lt-LT"/>
        </w:rPr>
        <w:t>Gerinant viešojo keleivinio transporto paslaugų kokybę ir įvaizdį 2020 metais Bendrovė įsigijo vieną naudotą, ekonomišką, 24 vietų 2018 m. MB SPRINTER markės autobusą.</w:t>
      </w:r>
    </w:p>
    <w:p w14:paraId="3E7514DF" w14:textId="77777777" w:rsidR="00185B15" w:rsidRPr="00706BB8" w:rsidRDefault="00185B15" w:rsidP="00185B15">
      <w:pPr>
        <w:ind w:firstLine="720"/>
        <w:jc w:val="both"/>
        <w:rPr>
          <w:sz w:val="24"/>
          <w:szCs w:val="24"/>
          <w:lang w:val="lt-LT"/>
        </w:rPr>
      </w:pPr>
      <w:r w:rsidRPr="00247DE9">
        <w:rPr>
          <w:rFonts w:eastAsia="Calibri"/>
          <w:sz w:val="24"/>
          <w:szCs w:val="24"/>
          <w:lang w:val="lt-LT"/>
        </w:rPr>
        <w:t>Vienas iš pagrindinių tikslų - transporto parko atnaujinimas naujomis arba naudotomis transporto priemonėmis, kurios leistų teikti kokybiškas, komfortiškas ir saugias keleivių vežimo paslaugas.</w:t>
      </w:r>
    </w:p>
    <w:p w14:paraId="2CAE87A7" w14:textId="77777777" w:rsidR="00185B15" w:rsidRPr="00706BB8" w:rsidRDefault="00185B15" w:rsidP="00185B15">
      <w:pPr>
        <w:ind w:firstLine="720"/>
        <w:jc w:val="both"/>
        <w:rPr>
          <w:sz w:val="24"/>
          <w:szCs w:val="24"/>
          <w:lang w:val="lt-LT"/>
        </w:rPr>
      </w:pPr>
      <w:r w:rsidRPr="00247DE9">
        <w:rPr>
          <w:sz w:val="24"/>
          <w:szCs w:val="24"/>
          <w:lang w:val="lt-LT"/>
        </w:rPr>
        <w:t>Bendrovėje yra autobusų remontui ir techniniam aptarnavimui reikalinga gamybinė bazė, kurioje atliekami transporto eksploatacijai reikalingi darbai.</w:t>
      </w:r>
      <w:r w:rsidRPr="00247DE9">
        <w:rPr>
          <w:rFonts w:eastAsia="Calibri"/>
          <w:color w:val="000000"/>
          <w:sz w:val="24"/>
          <w:szCs w:val="24"/>
          <w:lang w:val="lt-LT"/>
        </w:rPr>
        <w:t xml:space="preserve"> Autobusai yra darbo priemonės, su kuriomis vykdoma pagrindinė Bendrovės veikla. </w:t>
      </w:r>
    </w:p>
    <w:p w14:paraId="3E96E6F0" w14:textId="77777777" w:rsidR="00185B15" w:rsidRPr="00247DE9" w:rsidRDefault="00185B15" w:rsidP="00185B15">
      <w:pPr>
        <w:jc w:val="both"/>
        <w:rPr>
          <w:rFonts w:eastAsia="Calibri"/>
          <w:color w:val="000000"/>
          <w:sz w:val="24"/>
          <w:szCs w:val="24"/>
          <w:lang w:val="lt-LT"/>
        </w:rPr>
      </w:pPr>
    </w:p>
    <w:p w14:paraId="3E2653CA" w14:textId="77777777" w:rsidR="00185B15" w:rsidRPr="00247DE9" w:rsidRDefault="00185B15" w:rsidP="00185B15">
      <w:pPr>
        <w:jc w:val="center"/>
        <w:rPr>
          <w:sz w:val="24"/>
          <w:szCs w:val="24"/>
          <w:lang w:val="en-US"/>
        </w:rPr>
      </w:pPr>
      <w:r w:rsidRPr="00247DE9">
        <w:rPr>
          <w:rFonts w:eastAsia="Calibri"/>
          <w:b/>
          <w:color w:val="000000"/>
          <w:sz w:val="24"/>
          <w:szCs w:val="24"/>
          <w:lang w:val="lt-LT"/>
        </w:rPr>
        <w:t>FINANSINIŲ IR NEFINANSINIŲ VEIKLOS REZULTATŲ ANALIZĖ</w:t>
      </w:r>
    </w:p>
    <w:p w14:paraId="5F69349D" w14:textId="77777777" w:rsidR="00185B15" w:rsidRPr="00247DE9" w:rsidRDefault="00185B15" w:rsidP="00185B15">
      <w:pPr>
        <w:jc w:val="both"/>
        <w:rPr>
          <w:rFonts w:eastAsia="Calibri"/>
          <w:b/>
          <w:color w:val="000000"/>
          <w:sz w:val="24"/>
          <w:szCs w:val="24"/>
          <w:lang w:val="lt-LT"/>
        </w:rPr>
      </w:pPr>
    </w:p>
    <w:p w14:paraId="621448C5" w14:textId="2651AAD2" w:rsidR="00185B15" w:rsidRPr="00706BB8" w:rsidRDefault="00185B15" w:rsidP="00185B15">
      <w:pPr>
        <w:ind w:firstLine="720"/>
        <w:jc w:val="both"/>
        <w:rPr>
          <w:sz w:val="24"/>
          <w:szCs w:val="24"/>
          <w:lang w:val="lt-LT"/>
        </w:rPr>
      </w:pPr>
      <w:r w:rsidRPr="00247DE9">
        <w:rPr>
          <w:sz w:val="24"/>
          <w:szCs w:val="24"/>
          <w:lang w:val="lt-LT"/>
        </w:rPr>
        <w:t xml:space="preserve">Bendrovė 2020 metais neišvengė pandemijos COVID-19 įtakos. Dėl Lietuvos Respublikos </w:t>
      </w:r>
      <w:r w:rsidR="005C3A76">
        <w:rPr>
          <w:sz w:val="24"/>
          <w:szCs w:val="24"/>
          <w:lang w:val="lt-LT"/>
        </w:rPr>
        <w:t>s</w:t>
      </w:r>
      <w:r w:rsidRPr="00247DE9">
        <w:rPr>
          <w:sz w:val="24"/>
          <w:szCs w:val="24"/>
          <w:lang w:val="lt-LT"/>
        </w:rPr>
        <w:t xml:space="preserve">veikatos apsaugos ministerijos priimtų įsakymų, kuriais apibrėžiami veiksmai susiję su koronaviruso COVID-19 valdymo priemonėmis (Švietimo ir ugdymo įstaigų uždarymas, </w:t>
      </w:r>
      <w:r w:rsidRPr="00247DE9">
        <w:rPr>
          <w:sz w:val="24"/>
          <w:szCs w:val="24"/>
          <w:lang w:val="lt-LT"/>
        </w:rPr>
        <w:lastRenderedPageBreak/>
        <w:t>prekybinės veiklos ir viešojo transporto apribojimai ir kt.) kritiškai sumažėjo keleivių srautas. Keleivių srautas 2020 m.</w:t>
      </w:r>
      <w:r w:rsidR="005C3A76">
        <w:rPr>
          <w:sz w:val="24"/>
          <w:szCs w:val="24"/>
          <w:lang w:val="lt-LT"/>
        </w:rPr>
        <w:t>, palyginti su</w:t>
      </w:r>
      <w:r w:rsidRPr="00247DE9">
        <w:rPr>
          <w:sz w:val="24"/>
          <w:szCs w:val="24"/>
          <w:lang w:val="lt-LT"/>
        </w:rPr>
        <w:t xml:space="preserve"> 2019 m.</w:t>
      </w:r>
      <w:r w:rsidR="005C3A76">
        <w:rPr>
          <w:sz w:val="24"/>
          <w:szCs w:val="24"/>
          <w:lang w:val="lt-LT"/>
        </w:rPr>
        <w:t>,</w:t>
      </w:r>
      <w:r w:rsidRPr="00247DE9">
        <w:rPr>
          <w:sz w:val="24"/>
          <w:szCs w:val="24"/>
          <w:lang w:val="lt-LT"/>
        </w:rPr>
        <w:t xml:space="preserve"> sumažėjo 47 proc.</w:t>
      </w:r>
    </w:p>
    <w:p w14:paraId="3F389053" w14:textId="77777777" w:rsidR="00185B15" w:rsidRPr="00706BB8" w:rsidRDefault="00185B15" w:rsidP="00185B15">
      <w:pPr>
        <w:ind w:firstLine="720"/>
        <w:jc w:val="both"/>
        <w:rPr>
          <w:sz w:val="24"/>
          <w:szCs w:val="24"/>
          <w:lang w:val="lt-LT"/>
        </w:rPr>
      </w:pPr>
      <w:r w:rsidRPr="00247DE9">
        <w:rPr>
          <w:sz w:val="24"/>
          <w:szCs w:val="24"/>
          <w:lang w:val="lt-LT"/>
        </w:rPr>
        <w:t>Karantino metu Bendrovė buvo priversta sumažinti vietinio susisiekimo maršrutų reisus, tarpmiestiniai maršrutai nuo 2020 m. kovo 24 d. iki gegužės 4 d. ir nuo 2020 m. gruodžio 24 d. buvo visiškai sustabdyti.</w:t>
      </w:r>
    </w:p>
    <w:p w14:paraId="7805830F" w14:textId="77777777" w:rsidR="00185B15" w:rsidRPr="00247DE9" w:rsidRDefault="00185B15" w:rsidP="00185B15">
      <w:pPr>
        <w:ind w:firstLine="709"/>
        <w:jc w:val="both"/>
        <w:rPr>
          <w:sz w:val="24"/>
          <w:szCs w:val="24"/>
          <w:lang w:val="lt-LT"/>
        </w:rPr>
      </w:pPr>
    </w:p>
    <w:p w14:paraId="0681DE86" w14:textId="77777777" w:rsidR="00185B15" w:rsidRPr="00247DE9" w:rsidRDefault="00185B15" w:rsidP="00185B15">
      <w:pPr>
        <w:ind w:firstLine="709"/>
        <w:jc w:val="both"/>
        <w:rPr>
          <w:sz w:val="24"/>
          <w:szCs w:val="24"/>
          <w:lang w:val="en-US"/>
        </w:rPr>
      </w:pPr>
      <w:r w:rsidRPr="00247DE9">
        <w:rPr>
          <w:sz w:val="24"/>
          <w:szCs w:val="24"/>
          <w:lang w:val="lt-LT"/>
        </w:rPr>
        <w:t xml:space="preserve">Bendrosios Bendrovės pajamos ženkliai sumažėjo dėl COVID-19 padarinių. </w:t>
      </w:r>
    </w:p>
    <w:tbl>
      <w:tblPr>
        <w:tblW w:w="0" w:type="auto"/>
        <w:tblInd w:w="73" w:type="dxa"/>
        <w:tblLayout w:type="fixed"/>
        <w:tblLook w:val="04A0" w:firstRow="1" w:lastRow="0" w:firstColumn="1" w:lastColumn="0" w:noHBand="0" w:noVBand="1"/>
      </w:tblPr>
      <w:tblGrid>
        <w:gridCol w:w="756"/>
        <w:gridCol w:w="2778"/>
        <w:gridCol w:w="1393"/>
        <w:gridCol w:w="1390"/>
        <w:gridCol w:w="1636"/>
        <w:gridCol w:w="1741"/>
      </w:tblGrid>
      <w:tr w:rsidR="00185B15" w:rsidRPr="00247DE9" w14:paraId="4F74F70C" w14:textId="77777777" w:rsidTr="00185B15">
        <w:trPr>
          <w:trHeight w:val="675"/>
        </w:trPr>
        <w:tc>
          <w:tcPr>
            <w:tcW w:w="3534" w:type="dxa"/>
            <w:gridSpan w:val="2"/>
            <w:tcBorders>
              <w:top w:val="single" w:sz="4" w:space="0" w:color="000000"/>
              <w:left w:val="single" w:sz="4" w:space="0" w:color="000000"/>
              <w:bottom w:val="single" w:sz="4" w:space="0" w:color="000000"/>
              <w:right w:val="nil"/>
            </w:tcBorders>
            <w:vAlign w:val="center"/>
            <w:hideMark/>
          </w:tcPr>
          <w:p w14:paraId="3F4268C3" w14:textId="77777777" w:rsidR="00185B15" w:rsidRPr="00247DE9" w:rsidRDefault="00185B15">
            <w:pPr>
              <w:suppressAutoHyphens/>
              <w:jc w:val="center"/>
              <w:rPr>
                <w:sz w:val="24"/>
                <w:szCs w:val="24"/>
                <w:lang w:val="lt-LT" w:eastAsia="zh-CN"/>
              </w:rPr>
            </w:pPr>
            <w:r w:rsidRPr="00247DE9">
              <w:rPr>
                <w:b/>
                <w:bCs/>
                <w:sz w:val="24"/>
                <w:szCs w:val="24"/>
                <w:lang w:val="lt-LT"/>
              </w:rPr>
              <w:t>Rodikliai</w:t>
            </w:r>
          </w:p>
        </w:tc>
        <w:tc>
          <w:tcPr>
            <w:tcW w:w="1393" w:type="dxa"/>
            <w:tcBorders>
              <w:top w:val="single" w:sz="4" w:space="0" w:color="000000"/>
              <w:left w:val="single" w:sz="4" w:space="0" w:color="000000"/>
              <w:bottom w:val="single" w:sz="4" w:space="0" w:color="000000"/>
              <w:right w:val="nil"/>
            </w:tcBorders>
            <w:vAlign w:val="center"/>
            <w:hideMark/>
          </w:tcPr>
          <w:p w14:paraId="71B9CF83" w14:textId="77777777" w:rsidR="00185B15" w:rsidRPr="00247DE9" w:rsidRDefault="00185B15">
            <w:pPr>
              <w:suppressAutoHyphens/>
              <w:jc w:val="center"/>
              <w:rPr>
                <w:sz w:val="24"/>
                <w:szCs w:val="24"/>
                <w:lang w:val="lt-LT" w:eastAsia="zh-CN"/>
              </w:rPr>
            </w:pPr>
            <w:r w:rsidRPr="00247DE9">
              <w:rPr>
                <w:b/>
                <w:bCs/>
                <w:sz w:val="24"/>
                <w:szCs w:val="24"/>
                <w:lang w:val="lt-LT"/>
              </w:rPr>
              <w:t>2019 m.</w:t>
            </w:r>
          </w:p>
        </w:tc>
        <w:tc>
          <w:tcPr>
            <w:tcW w:w="1390" w:type="dxa"/>
            <w:tcBorders>
              <w:top w:val="single" w:sz="4" w:space="0" w:color="000000"/>
              <w:left w:val="single" w:sz="4" w:space="0" w:color="000000"/>
              <w:bottom w:val="single" w:sz="4" w:space="0" w:color="000000"/>
              <w:right w:val="nil"/>
            </w:tcBorders>
            <w:vAlign w:val="center"/>
            <w:hideMark/>
          </w:tcPr>
          <w:p w14:paraId="005ACA28" w14:textId="77777777" w:rsidR="00185B15" w:rsidRPr="00247DE9" w:rsidRDefault="00185B15">
            <w:pPr>
              <w:suppressAutoHyphens/>
              <w:jc w:val="center"/>
              <w:rPr>
                <w:sz w:val="24"/>
                <w:szCs w:val="24"/>
                <w:lang w:val="lt-LT" w:eastAsia="zh-CN"/>
              </w:rPr>
            </w:pPr>
            <w:r w:rsidRPr="00247DE9">
              <w:rPr>
                <w:b/>
                <w:bCs/>
                <w:sz w:val="24"/>
                <w:szCs w:val="24"/>
                <w:lang w:val="lt-LT"/>
              </w:rPr>
              <w:t>2020 m</w:t>
            </w:r>
          </w:p>
        </w:tc>
        <w:tc>
          <w:tcPr>
            <w:tcW w:w="1636" w:type="dxa"/>
            <w:tcBorders>
              <w:top w:val="single" w:sz="4" w:space="0" w:color="000000"/>
              <w:left w:val="single" w:sz="4" w:space="0" w:color="000000"/>
              <w:bottom w:val="single" w:sz="4" w:space="0" w:color="000000"/>
              <w:right w:val="nil"/>
            </w:tcBorders>
            <w:vAlign w:val="center"/>
            <w:hideMark/>
          </w:tcPr>
          <w:p w14:paraId="360A13DC" w14:textId="77777777" w:rsidR="00185B15" w:rsidRPr="00247DE9" w:rsidRDefault="00185B15">
            <w:pPr>
              <w:suppressAutoHyphens/>
              <w:jc w:val="center"/>
              <w:rPr>
                <w:sz w:val="24"/>
                <w:szCs w:val="24"/>
                <w:lang w:val="lt-LT" w:eastAsia="zh-CN"/>
              </w:rPr>
            </w:pPr>
            <w:r w:rsidRPr="00247DE9">
              <w:rPr>
                <w:b/>
                <w:bCs/>
                <w:sz w:val="24"/>
                <w:szCs w:val="24"/>
                <w:lang w:val="lt-LT"/>
              </w:rPr>
              <w:t>2020/2019 m. kitimas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3BA8A2A9" w14:textId="77777777" w:rsidR="00185B15" w:rsidRPr="00247DE9" w:rsidRDefault="00185B15">
            <w:pPr>
              <w:suppressAutoHyphens/>
              <w:jc w:val="center"/>
              <w:rPr>
                <w:sz w:val="24"/>
                <w:szCs w:val="24"/>
                <w:lang w:val="lt-LT" w:eastAsia="zh-CN"/>
              </w:rPr>
            </w:pPr>
            <w:r w:rsidRPr="00247DE9">
              <w:rPr>
                <w:b/>
                <w:bCs/>
                <w:sz w:val="24"/>
                <w:szCs w:val="24"/>
                <w:lang w:val="lt-LT"/>
              </w:rPr>
              <w:t>2020/2019 m. kitimas (%)</w:t>
            </w:r>
          </w:p>
        </w:tc>
      </w:tr>
      <w:tr w:rsidR="00185B15" w:rsidRPr="00247DE9" w14:paraId="25692E9A" w14:textId="77777777" w:rsidTr="00185B15">
        <w:trPr>
          <w:trHeight w:val="285"/>
        </w:trPr>
        <w:tc>
          <w:tcPr>
            <w:tcW w:w="9694" w:type="dxa"/>
            <w:gridSpan w:val="6"/>
            <w:tcBorders>
              <w:top w:val="single" w:sz="4" w:space="0" w:color="000000"/>
              <w:left w:val="single" w:sz="4" w:space="0" w:color="000000"/>
              <w:bottom w:val="single" w:sz="4" w:space="0" w:color="000000"/>
              <w:right w:val="single" w:sz="4" w:space="0" w:color="000000"/>
            </w:tcBorders>
            <w:vAlign w:val="bottom"/>
            <w:hideMark/>
          </w:tcPr>
          <w:p w14:paraId="55367667" w14:textId="77777777" w:rsidR="00185B15" w:rsidRPr="00247DE9" w:rsidRDefault="00185B15">
            <w:pPr>
              <w:suppressAutoHyphens/>
              <w:jc w:val="center"/>
              <w:rPr>
                <w:sz w:val="24"/>
                <w:szCs w:val="24"/>
                <w:lang w:val="lt-LT" w:eastAsia="zh-CN"/>
              </w:rPr>
            </w:pPr>
            <w:r w:rsidRPr="00247DE9">
              <w:rPr>
                <w:b/>
                <w:bCs/>
                <w:sz w:val="24"/>
                <w:szCs w:val="24"/>
                <w:lang w:val="lt-LT"/>
              </w:rPr>
              <w:t>Pajamos, Eur</w:t>
            </w:r>
          </w:p>
        </w:tc>
      </w:tr>
      <w:tr w:rsidR="00185B15" w:rsidRPr="00247DE9" w14:paraId="3BF4602D"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4F2D93F9" w14:textId="77777777" w:rsidR="00185B15" w:rsidRPr="00247DE9" w:rsidRDefault="00185B15">
            <w:pPr>
              <w:suppressAutoHyphens/>
              <w:rPr>
                <w:sz w:val="24"/>
                <w:szCs w:val="24"/>
                <w:lang w:val="lt-LT" w:eastAsia="zh-CN"/>
              </w:rPr>
            </w:pPr>
            <w:r w:rsidRPr="00247DE9">
              <w:rPr>
                <w:sz w:val="24"/>
                <w:szCs w:val="24"/>
                <w:lang w:val="lt-LT"/>
              </w:rPr>
              <w:t>1.</w:t>
            </w:r>
          </w:p>
        </w:tc>
        <w:tc>
          <w:tcPr>
            <w:tcW w:w="2778" w:type="dxa"/>
            <w:tcBorders>
              <w:top w:val="nil"/>
              <w:left w:val="single" w:sz="4" w:space="0" w:color="000000"/>
              <w:bottom w:val="single" w:sz="4" w:space="0" w:color="000000"/>
              <w:right w:val="nil"/>
            </w:tcBorders>
            <w:vAlign w:val="bottom"/>
            <w:hideMark/>
          </w:tcPr>
          <w:p w14:paraId="2292A2FB" w14:textId="77777777" w:rsidR="00185B15" w:rsidRPr="00247DE9" w:rsidRDefault="00185B15">
            <w:pPr>
              <w:suppressAutoHyphens/>
              <w:rPr>
                <w:sz w:val="24"/>
                <w:szCs w:val="24"/>
                <w:lang w:val="lt-LT" w:eastAsia="zh-CN"/>
              </w:rPr>
            </w:pPr>
            <w:r w:rsidRPr="00247DE9">
              <w:rPr>
                <w:b/>
                <w:bCs/>
                <w:sz w:val="24"/>
                <w:szCs w:val="24"/>
                <w:lang w:val="lt-LT"/>
              </w:rPr>
              <w:t>Keleivių vežimas</w:t>
            </w:r>
          </w:p>
        </w:tc>
        <w:tc>
          <w:tcPr>
            <w:tcW w:w="1393" w:type="dxa"/>
            <w:tcBorders>
              <w:top w:val="nil"/>
              <w:left w:val="single" w:sz="4" w:space="0" w:color="000000"/>
              <w:bottom w:val="single" w:sz="4" w:space="0" w:color="000000"/>
              <w:right w:val="nil"/>
            </w:tcBorders>
            <w:vAlign w:val="bottom"/>
            <w:hideMark/>
          </w:tcPr>
          <w:p w14:paraId="6E8343C2" w14:textId="77777777" w:rsidR="00185B15" w:rsidRPr="00247DE9" w:rsidRDefault="00185B15">
            <w:pPr>
              <w:suppressAutoHyphens/>
              <w:jc w:val="center"/>
              <w:rPr>
                <w:sz w:val="24"/>
                <w:szCs w:val="24"/>
                <w:lang w:val="lt-LT" w:eastAsia="zh-CN"/>
              </w:rPr>
            </w:pPr>
            <w:r w:rsidRPr="00247DE9">
              <w:rPr>
                <w:b/>
                <w:bCs/>
                <w:sz w:val="24"/>
                <w:szCs w:val="24"/>
                <w:lang w:val="lt-LT"/>
              </w:rPr>
              <w:t>1.535.980</w:t>
            </w:r>
          </w:p>
        </w:tc>
        <w:tc>
          <w:tcPr>
            <w:tcW w:w="1390" w:type="dxa"/>
            <w:tcBorders>
              <w:top w:val="nil"/>
              <w:left w:val="single" w:sz="4" w:space="0" w:color="000000"/>
              <w:bottom w:val="single" w:sz="4" w:space="0" w:color="000000"/>
              <w:right w:val="nil"/>
            </w:tcBorders>
            <w:vAlign w:val="bottom"/>
            <w:hideMark/>
          </w:tcPr>
          <w:p w14:paraId="3CCB5BBE" w14:textId="77777777" w:rsidR="00185B15" w:rsidRPr="00247DE9" w:rsidRDefault="00185B15">
            <w:pPr>
              <w:suppressAutoHyphens/>
              <w:jc w:val="center"/>
              <w:rPr>
                <w:sz w:val="24"/>
                <w:szCs w:val="24"/>
                <w:lang w:val="lt-LT" w:eastAsia="zh-CN"/>
              </w:rPr>
            </w:pPr>
            <w:r w:rsidRPr="00247DE9">
              <w:rPr>
                <w:b/>
                <w:bCs/>
                <w:sz w:val="24"/>
                <w:szCs w:val="24"/>
                <w:lang w:val="lt-LT"/>
              </w:rPr>
              <w:t>735.807</w:t>
            </w:r>
          </w:p>
        </w:tc>
        <w:tc>
          <w:tcPr>
            <w:tcW w:w="1636" w:type="dxa"/>
            <w:tcBorders>
              <w:top w:val="nil"/>
              <w:left w:val="single" w:sz="4" w:space="0" w:color="000000"/>
              <w:bottom w:val="single" w:sz="4" w:space="0" w:color="000000"/>
              <w:right w:val="nil"/>
            </w:tcBorders>
            <w:vAlign w:val="bottom"/>
            <w:hideMark/>
          </w:tcPr>
          <w:p w14:paraId="608B6203" w14:textId="77777777" w:rsidR="00185B15" w:rsidRPr="00247DE9" w:rsidRDefault="00185B15">
            <w:pPr>
              <w:suppressAutoHyphens/>
              <w:jc w:val="center"/>
              <w:rPr>
                <w:sz w:val="24"/>
                <w:szCs w:val="24"/>
                <w:lang w:val="lt-LT" w:eastAsia="zh-CN"/>
              </w:rPr>
            </w:pPr>
            <w:r w:rsidRPr="00247DE9">
              <w:rPr>
                <w:b/>
                <w:bCs/>
                <w:sz w:val="24"/>
                <w:szCs w:val="24"/>
                <w:lang w:val="lt-LT"/>
              </w:rPr>
              <w:t>-800.173</w:t>
            </w:r>
          </w:p>
        </w:tc>
        <w:tc>
          <w:tcPr>
            <w:tcW w:w="1741" w:type="dxa"/>
            <w:tcBorders>
              <w:top w:val="nil"/>
              <w:left w:val="single" w:sz="4" w:space="0" w:color="000000"/>
              <w:bottom w:val="single" w:sz="4" w:space="0" w:color="000000"/>
              <w:right w:val="single" w:sz="4" w:space="0" w:color="000000"/>
            </w:tcBorders>
            <w:vAlign w:val="bottom"/>
            <w:hideMark/>
          </w:tcPr>
          <w:p w14:paraId="5E3BECB2" w14:textId="77777777" w:rsidR="00185B15" w:rsidRPr="00247DE9" w:rsidRDefault="00185B15">
            <w:pPr>
              <w:suppressAutoHyphens/>
              <w:jc w:val="center"/>
              <w:rPr>
                <w:sz w:val="24"/>
                <w:szCs w:val="24"/>
                <w:lang w:val="lt-LT" w:eastAsia="zh-CN"/>
              </w:rPr>
            </w:pPr>
            <w:r w:rsidRPr="00247DE9">
              <w:rPr>
                <w:sz w:val="24"/>
                <w:szCs w:val="24"/>
                <w:lang w:val="lt-LT"/>
              </w:rPr>
              <w:t>-52</w:t>
            </w:r>
          </w:p>
        </w:tc>
      </w:tr>
      <w:tr w:rsidR="00185B15" w:rsidRPr="00247DE9" w14:paraId="2B3EEE8A" w14:textId="77777777" w:rsidTr="00185B15">
        <w:trPr>
          <w:trHeight w:val="390"/>
        </w:trPr>
        <w:tc>
          <w:tcPr>
            <w:tcW w:w="756" w:type="dxa"/>
            <w:tcBorders>
              <w:top w:val="nil"/>
              <w:left w:val="single" w:sz="4" w:space="0" w:color="000000"/>
              <w:bottom w:val="single" w:sz="4" w:space="0" w:color="000000"/>
              <w:right w:val="nil"/>
            </w:tcBorders>
            <w:vAlign w:val="bottom"/>
            <w:hideMark/>
          </w:tcPr>
          <w:p w14:paraId="291A6D53" w14:textId="77777777" w:rsidR="00185B15" w:rsidRPr="00247DE9" w:rsidRDefault="00185B15">
            <w:pPr>
              <w:suppressAutoHyphens/>
              <w:rPr>
                <w:sz w:val="24"/>
                <w:szCs w:val="24"/>
                <w:lang w:val="lt-LT" w:eastAsia="zh-CN"/>
              </w:rPr>
            </w:pPr>
            <w:r w:rsidRPr="00247DE9">
              <w:rPr>
                <w:b/>
                <w:bCs/>
                <w:i/>
                <w:iCs/>
                <w:sz w:val="24"/>
                <w:szCs w:val="24"/>
                <w:lang w:val="lt-LT"/>
              </w:rPr>
              <w:t>1.1.</w:t>
            </w:r>
          </w:p>
        </w:tc>
        <w:tc>
          <w:tcPr>
            <w:tcW w:w="2778" w:type="dxa"/>
            <w:tcBorders>
              <w:top w:val="nil"/>
              <w:left w:val="single" w:sz="4" w:space="0" w:color="000000"/>
              <w:bottom w:val="single" w:sz="4" w:space="0" w:color="000000"/>
              <w:right w:val="nil"/>
            </w:tcBorders>
            <w:vAlign w:val="bottom"/>
            <w:hideMark/>
          </w:tcPr>
          <w:p w14:paraId="75E0CDDC" w14:textId="77777777" w:rsidR="00185B15" w:rsidRPr="00247DE9" w:rsidRDefault="00185B15">
            <w:pPr>
              <w:suppressAutoHyphens/>
              <w:rPr>
                <w:sz w:val="24"/>
                <w:szCs w:val="24"/>
                <w:lang w:val="lt-LT" w:eastAsia="zh-CN"/>
              </w:rPr>
            </w:pPr>
            <w:r w:rsidRPr="00247DE9">
              <w:rPr>
                <w:b/>
                <w:bCs/>
                <w:i/>
                <w:iCs/>
                <w:sz w:val="24"/>
                <w:szCs w:val="24"/>
                <w:lang w:val="lt-LT"/>
              </w:rPr>
              <w:t xml:space="preserve">Iš jų: už bilietus iš keleivių </w:t>
            </w:r>
          </w:p>
        </w:tc>
        <w:tc>
          <w:tcPr>
            <w:tcW w:w="1393" w:type="dxa"/>
            <w:tcBorders>
              <w:top w:val="nil"/>
              <w:left w:val="single" w:sz="4" w:space="0" w:color="000000"/>
              <w:bottom w:val="single" w:sz="4" w:space="0" w:color="000000"/>
              <w:right w:val="nil"/>
            </w:tcBorders>
            <w:vAlign w:val="bottom"/>
            <w:hideMark/>
          </w:tcPr>
          <w:p w14:paraId="4C46606A" w14:textId="77777777" w:rsidR="00185B15" w:rsidRPr="00247DE9" w:rsidRDefault="00185B15">
            <w:pPr>
              <w:suppressAutoHyphens/>
              <w:jc w:val="center"/>
              <w:rPr>
                <w:sz w:val="24"/>
                <w:szCs w:val="24"/>
                <w:lang w:val="lt-LT" w:eastAsia="zh-CN"/>
              </w:rPr>
            </w:pPr>
            <w:r w:rsidRPr="00247DE9">
              <w:rPr>
                <w:b/>
                <w:bCs/>
                <w:i/>
                <w:iCs/>
                <w:sz w:val="24"/>
                <w:szCs w:val="24"/>
                <w:lang w:val="lt-LT"/>
              </w:rPr>
              <w:t>911.237</w:t>
            </w:r>
          </w:p>
        </w:tc>
        <w:tc>
          <w:tcPr>
            <w:tcW w:w="1390" w:type="dxa"/>
            <w:tcBorders>
              <w:top w:val="nil"/>
              <w:left w:val="single" w:sz="4" w:space="0" w:color="000000"/>
              <w:bottom w:val="single" w:sz="4" w:space="0" w:color="000000"/>
              <w:right w:val="nil"/>
            </w:tcBorders>
            <w:vAlign w:val="bottom"/>
            <w:hideMark/>
          </w:tcPr>
          <w:p w14:paraId="42EDA723" w14:textId="77777777" w:rsidR="00185B15" w:rsidRPr="00247DE9" w:rsidRDefault="00185B15">
            <w:pPr>
              <w:suppressAutoHyphens/>
              <w:jc w:val="center"/>
              <w:rPr>
                <w:sz w:val="24"/>
                <w:szCs w:val="24"/>
                <w:lang w:val="lt-LT" w:eastAsia="zh-CN"/>
              </w:rPr>
            </w:pPr>
            <w:r w:rsidRPr="00247DE9">
              <w:rPr>
                <w:b/>
                <w:bCs/>
                <w:i/>
                <w:iCs/>
                <w:sz w:val="24"/>
                <w:szCs w:val="24"/>
                <w:lang w:val="lt-LT"/>
              </w:rPr>
              <w:t>405.247</w:t>
            </w:r>
          </w:p>
        </w:tc>
        <w:tc>
          <w:tcPr>
            <w:tcW w:w="1636" w:type="dxa"/>
            <w:tcBorders>
              <w:top w:val="nil"/>
              <w:left w:val="single" w:sz="4" w:space="0" w:color="000000"/>
              <w:bottom w:val="single" w:sz="4" w:space="0" w:color="000000"/>
              <w:right w:val="nil"/>
            </w:tcBorders>
            <w:vAlign w:val="bottom"/>
            <w:hideMark/>
          </w:tcPr>
          <w:p w14:paraId="3231C162" w14:textId="77777777" w:rsidR="00185B15" w:rsidRPr="00247DE9" w:rsidRDefault="00185B15">
            <w:pPr>
              <w:suppressAutoHyphens/>
              <w:jc w:val="center"/>
              <w:rPr>
                <w:sz w:val="24"/>
                <w:szCs w:val="24"/>
                <w:lang w:val="lt-LT" w:eastAsia="zh-CN"/>
              </w:rPr>
            </w:pPr>
            <w:r w:rsidRPr="00247DE9">
              <w:rPr>
                <w:b/>
                <w:bCs/>
                <w:i/>
                <w:iCs/>
                <w:sz w:val="24"/>
                <w:szCs w:val="24"/>
                <w:lang w:val="lt-LT"/>
              </w:rPr>
              <w:t>-505.990</w:t>
            </w:r>
          </w:p>
        </w:tc>
        <w:tc>
          <w:tcPr>
            <w:tcW w:w="1741" w:type="dxa"/>
            <w:tcBorders>
              <w:top w:val="nil"/>
              <w:left w:val="single" w:sz="4" w:space="0" w:color="000000"/>
              <w:bottom w:val="single" w:sz="4" w:space="0" w:color="000000"/>
              <w:right w:val="single" w:sz="4" w:space="0" w:color="000000"/>
            </w:tcBorders>
            <w:vAlign w:val="bottom"/>
            <w:hideMark/>
          </w:tcPr>
          <w:p w14:paraId="39D49402" w14:textId="77777777" w:rsidR="00185B15" w:rsidRPr="00247DE9" w:rsidRDefault="00185B15">
            <w:pPr>
              <w:suppressAutoHyphens/>
              <w:jc w:val="center"/>
              <w:rPr>
                <w:sz w:val="24"/>
                <w:szCs w:val="24"/>
                <w:lang w:val="lt-LT" w:eastAsia="zh-CN"/>
              </w:rPr>
            </w:pPr>
            <w:r w:rsidRPr="00247DE9">
              <w:rPr>
                <w:i/>
                <w:iCs/>
                <w:sz w:val="24"/>
                <w:szCs w:val="24"/>
                <w:lang w:val="lt-LT"/>
              </w:rPr>
              <w:t>-56</w:t>
            </w:r>
          </w:p>
        </w:tc>
      </w:tr>
      <w:tr w:rsidR="00185B15" w:rsidRPr="00247DE9" w14:paraId="5C3AF739"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2851E77F" w14:textId="77777777" w:rsidR="00185B15" w:rsidRPr="00247DE9" w:rsidRDefault="00185B15">
            <w:pPr>
              <w:suppressAutoHyphens/>
              <w:rPr>
                <w:sz w:val="24"/>
                <w:szCs w:val="24"/>
                <w:lang w:val="lt-LT" w:eastAsia="zh-CN"/>
              </w:rPr>
            </w:pPr>
            <w:r w:rsidRPr="00247DE9">
              <w:rPr>
                <w:sz w:val="24"/>
                <w:szCs w:val="24"/>
                <w:lang w:val="lt-LT"/>
              </w:rPr>
              <w:t>1.1.1.</w:t>
            </w:r>
          </w:p>
        </w:tc>
        <w:tc>
          <w:tcPr>
            <w:tcW w:w="2778" w:type="dxa"/>
            <w:tcBorders>
              <w:top w:val="nil"/>
              <w:left w:val="single" w:sz="4" w:space="0" w:color="000000"/>
              <w:bottom w:val="single" w:sz="4" w:space="0" w:color="000000"/>
              <w:right w:val="nil"/>
            </w:tcBorders>
            <w:vAlign w:val="bottom"/>
            <w:hideMark/>
          </w:tcPr>
          <w:p w14:paraId="692AB1ED" w14:textId="77777777" w:rsidR="00185B15" w:rsidRPr="00247DE9" w:rsidRDefault="00185B15">
            <w:pPr>
              <w:suppressAutoHyphens/>
              <w:rPr>
                <w:sz w:val="24"/>
                <w:szCs w:val="24"/>
                <w:lang w:val="lt-LT" w:eastAsia="zh-CN"/>
              </w:rPr>
            </w:pPr>
            <w:r w:rsidRPr="00247DE9">
              <w:rPr>
                <w:sz w:val="24"/>
                <w:szCs w:val="24"/>
                <w:lang w:val="lt-LT"/>
              </w:rPr>
              <w:t xml:space="preserve">  miestas</w:t>
            </w:r>
          </w:p>
        </w:tc>
        <w:tc>
          <w:tcPr>
            <w:tcW w:w="1393" w:type="dxa"/>
            <w:tcBorders>
              <w:top w:val="nil"/>
              <w:left w:val="single" w:sz="4" w:space="0" w:color="000000"/>
              <w:bottom w:val="single" w:sz="4" w:space="0" w:color="000000"/>
              <w:right w:val="nil"/>
            </w:tcBorders>
            <w:vAlign w:val="bottom"/>
            <w:hideMark/>
          </w:tcPr>
          <w:p w14:paraId="25F8B32E" w14:textId="77777777" w:rsidR="00185B15" w:rsidRPr="00247DE9" w:rsidRDefault="00185B15">
            <w:pPr>
              <w:suppressAutoHyphens/>
              <w:jc w:val="center"/>
              <w:rPr>
                <w:sz w:val="24"/>
                <w:szCs w:val="24"/>
                <w:lang w:val="lt-LT" w:eastAsia="zh-CN"/>
              </w:rPr>
            </w:pPr>
            <w:r w:rsidRPr="00247DE9">
              <w:rPr>
                <w:sz w:val="24"/>
                <w:szCs w:val="24"/>
                <w:lang w:val="lt-LT"/>
              </w:rPr>
              <w:t>42.670</w:t>
            </w:r>
          </w:p>
        </w:tc>
        <w:tc>
          <w:tcPr>
            <w:tcW w:w="1390" w:type="dxa"/>
            <w:tcBorders>
              <w:top w:val="nil"/>
              <w:left w:val="single" w:sz="4" w:space="0" w:color="000000"/>
              <w:bottom w:val="single" w:sz="4" w:space="0" w:color="000000"/>
              <w:right w:val="nil"/>
            </w:tcBorders>
            <w:vAlign w:val="bottom"/>
            <w:hideMark/>
          </w:tcPr>
          <w:p w14:paraId="50FEBCA2" w14:textId="77777777" w:rsidR="00185B15" w:rsidRPr="00247DE9" w:rsidRDefault="00185B15">
            <w:pPr>
              <w:suppressAutoHyphens/>
              <w:jc w:val="center"/>
              <w:rPr>
                <w:sz w:val="24"/>
                <w:szCs w:val="24"/>
                <w:lang w:val="lt-LT" w:eastAsia="zh-CN"/>
              </w:rPr>
            </w:pPr>
            <w:r w:rsidRPr="00247DE9">
              <w:rPr>
                <w:sz w:val="24"/>
                <w:szCs w:val="24"/>
                <w:lang w:val="lt-LT"/>
              </w:rPr>
              <w:t>28.681</w:t>
            </w:r>
          </w:p>
        </w:tc>
        <w:tc>
          <w:tcPr>
            <w:tcW w:w="1636" w:type="dxa"/>
            <w:tcBorders>
              <w:top w:val="nil"/>
              <w:left w:val="single" w:sz="4" w:space="0" w:color="000000"/>
              <w:bottom w:val="single" w:sz="4" w:space="0" w:color="000000"/>
              <w:right w:val="nil"/>
            </w:tcBorders>
            <w:vAlign w:val="bottom"/>
            <w:hideMark/>
          </w:tcPr>
          <w:p w14:paraId="57977348" w14:textId="77777777" w:rsidR="00185B15" w:rsidRPr="00247DE9" w:rsidRDefault="00185B15">
            <w:pPr>
              <w:suppressAutoHyphens/>
              <w:jc w:val="center"/>
              <w:rPr>
                <w:sz w:val="24"/>
                <w:szCs w:val="24"/>
                <w:lang w:val="lt-LT" w:eastAsia="zh-CN"/>
              </w:rPr>
            </w:pPr>
            <w:r w:rsidRPr="00247DE9">
              <w:rPr>
                <w:b/>
                <w:bCs/>
                <w:sz w:val="24"/>
                <w:szCs w:val="24"/>
                <w:lang w:val="lt-LT"/>
              </w:rPr>
              <w:t>-13.989</w:t>
            </w:r>
          </w:p>
        </w:tc>
        <w:tc>
          <w:tcPr>
            <w:tcW w:w="1741" w:type="dxa"/>
            <w:tcBorders>
              <w:top w:val="nil"/>
              <w:left w:val="single" w:sz="4" w:space="0" w:color="000000"/>
              <w:bottom w:val="single" w:sz="4" w:space="0" w:color="000000"/>
              <w:right w:val="single" w:sz="4" w:space="0" w:color="000000"/>
            </w:tcBorders>
            <w:vAlign w:val="bottom"/>
            <w:hideMark/>
          </w:tcPr>
          <w:p w14:paraId="682E8897" w14:textId="77777777" w:rsidR="00185B15" w:rsidRPr="00247DE9" w:rsidRDefault="00185B15">
            <w:pPr>
              <w:suppressAutoHyphens/>
              <w:jc w:val="center"/>
              <w:rPr>
                <w:sz w:val="24"/>
                <w:szCs w:val="24"/>
                <w:lang w:val="lt-LT" w:eastAsia="zh-CN"/>
              </w:rPr>
            </w:pPr>
            <w:r w:rsidRPr="00247DE9">
              <w:rPr>
                <w:sz w:val="24"/>
                <w:szCs w:val="24"/>
                <w:lang w:val="lt-LT"/>
              </w:rPr>
              <w:t>-33</w:t>
            </w:r>
          </w:p>
        </w:tc>
      </w:tr>
      <w:tr w:rsidR="00185B15" w:rsidRPr="00247DE9" w14:paraId="4880C8F0"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5D2B34E6" w14:textId="77777777" w:rsidR="00185B15" w:rsidRPr="00247DE9" w:rsidRDefault="00185B15">
            <w:pPr>
              <w:suppressAutoHyphens/>
              <w:rPr>
                <w:sz w:val="24"/>
                <w:szCs w:val="24"/>
                <w:lang w:val="lt-LT" w:eastAsia="zh-CN"/>
              </w:rPr>
            </w:pPr>
            <w:r w:rsidRPr="00247DE9">
              <w:rPr>
                <w:sz w:val="24"/>
                <w:szCs w:val="24"/>
                <w:lang w:val="lt-LT"/>
              </w:rPr>
              <w:t>1.1.2.</w:t>
            </w:r>
          </w:p>
        </w:tc>
        <w:tc>
          <w:tcPr>
            <w:tcW w:w="2778" w:type="dxa"/>
            <w:tcBorders>
              <w:top w:val="nil"/>
              <w:left w:val="single" w:sz="4" w:space="0" w:color="000000"/>
              <w:bottom w:val="single" w:sz="4" w:space="0" w:color="000000"/>
              <w:right w:val="nil"/>
            </w:tcBorders>
            <w:vAlign w:val="bottom"/>
            <w:hideMark/>
          </w:tcPr>
          <w:p w14:paraId="5D994AAC" w14:textId="77777777" w:rsidR="00185B15" w:rsidRPr="00247DE9" w:rsidRDefault="00185B15">
            <w:pPr>
              <w:suppressAutoHyphens/>
              <w:rPr>
                <w:sz w:val="24"/>
                <w:szCs w:val="24"/>
                <w:lang w:val="lt-LT" w:eastAsia="zh-CN"/>
              </w:rPr>
            </w:pPr>
            <w:r w:rsidRPr="00247DE9">
              <w:rPr>
                <w:sz w:val="24"/>
                <w:szCs w:val="24"/>
                <w:lang w:val="lt-LT"/>
              </w:rPr>
              <w:t xml:space="preserve">  priemiestis</w:t>
            </w:r>
          </w:p>
        </w:tc>
        <w:tc>
          <w:tcPr>
            <w:tcW w:w="1393" w:type="dxa"/>
            <w:tcBorders>
              <w:top w:val="nil"/>
              <w:left w:val="single" w:sz="4" w:space="0" w:color="000000"/>
              <w:bottom w:val="single" w:sz="4" w:space="0" w:color="000000"/>
              <w:right w:val="nil"/>
            </w:tcBorders>
            <w:vAlign w:val="bottom"/>
            <w:hideMark/>
          </w:tcPr>
          <w:p w14:paraId="5CD290A2" w14:textId="77777777" w:rsidR="00185B15" w:rsidRPr="00247DE9" w:rsidRDefault="00185B15">
            <w:pPr>
              <w:suppressAutoHyphens/>
              <w:jc w:val="center"/>
              <w:rPr>
                <w:sz w:val="24"/>
                <w:szCs w:val="24"/>
                <w:lang w:val="lt-LT" w:eastAsia="zh-CN"/>
              </w:rPr>
            </w:pPr>
            <w:r w:rsidRPr="00247DE9">
              <w:rPr>
                <w:sz w:val="24"/>
                <w:szCs w:val="24"/>
                <w:lang w:val="lt-LT"/>
              </w:rPr>
              <w:t>46.687</w:t>
            </w:r>
          </w:p>
        </w:tc>
        <w:tc>
          <w:tcPr>
            <w:tcW w:w="1390" w:type="dxa"/>
            <w:tcBorders>
              <w:top w:val="nil"/>
              <w:left w:val="single" w:sz="4" w:space="0" w:color="000000"/>
              <w:bottom w:val="single" w:sz="4" w:space="0" w:color="000000"/>
              <w:right w:val="nil"/>
            </w:tcBorders>
            <w:vAlign w:val="bottom"/>
            <w:hideMark/>
          </w:tcPr>
          <w:p w14:paraId="15038320" w14:textId="77777777" w:rsidR="00185B15" w:rsidRPr="00247DE9" w:rsidRDefault="00185B15">
            <w:pPr>
              <w:suppressAutoHyphens/>
              <w:jc w:val="center"/>
              <w:rPr>
                <w:sz w:val="24"/>
                <w:szCs w:val="24"/>
                <w:lang w:val="lt-LT" w:eastAsia="zh-CN"/>
              </w:rPr>
            </w:pPr>
            <w:r w:rsidRPr="00247DE9">
              <w:rPr>
                <w:sz w:val="24"/>
                <w:szCs w:val="24"/>
                <w:lang w:val="lt-LT"/>
              </w:rPr>
              <w:t>31.163</w:t>
            </w:r>
          </w:p>
        </w:tc>
        <w:tc>
          <w:tcPr>
            <w:tcW w:w="1636" w:type="dxa"/>
            <w:tcBorders>
              <w:top w:val="nil"/>
              <w:left w:val="single" w:sz="4" w:space="0" w:color="000000"/>
              <w:bottom w:val="single" w:sz="4" w:space="0" w:color="000000"/>
              <w:right w:val="nil"/>
            </w:tcBorders>
            <w:vAlign w:val="bottom"/>
            <w:hideMark/>
          </w:tcPr>
          <w:p w14:paraId="42CA2829" w14:textId="77777777" w:rsidR="00185B15" w:rsidRPr="00247DE9" w:rsidRDefault="00185B15">
            <w:pPr>
              <w:suppressAutoHyphens/>
              <w:jc w:val="center"/>
              <w:rPr>
                <w:sz w:val="24"/>
                <w:szCs w:val="24"/>
                <w:lang w:val="lt-LT" w:eastAsia="zh-CN"/>
              </w:rPr>
            </w:pPr>
            <w:r w:rsidRPr="00247DE9">
              <w:rPr>
                <w:b/>
                <w:bCs/>
                <w:sz w:val="24"/>
                <w:szCs w:val="24"/>
                <w:lang w:val="lt-LT"/>
              </w:rPr>
              <w:t>-15.524</w:t>
            </w:r>
          </w:p>
        </w:tc>
        <w:tc>
          <w:tcPr>
            <w:tcW w:w="1741" w:type="dxa"/>
            <w:tcBorders>
              <w:top w:val="nil"/>
              <w:left w:val="single" w:sz="4" w:space="0" w:color="000000"/>
              <w:bottom w:val="single" w:sz="4" w:space="0" w:color="000000"/>
              <w:right w:val="single" w:sz="4" w:space="0" w:color="000000"/>
            </w:tcBorders>
            <w:vAlign w:val="bottom"/>
            <w:hideMark/>
          </w:tcPr>
          <w:p w14:paraId="607375F3" w14:textId="77777777" w:rsidR="00185B15" w:rsidRPr="00247DE9" w:rsidRDefault="00185B15">
            <w:pPr>
              <w:suppressAutoHyphens/>
              <w:jc w:val="center"/>
              <w:rPr>
                <w:sz w:val="24"/>
                <w:szCs w:val="24"/>
                <w:lang w:val="lt-LT" w:eastAsia="zh-CN"/>
              </w:rPr>
            </w:pPr>
            <w:r w:rsidRPr="00247DE9">
              <w:rPr>
                <w:sz w:val="24"/>
                <w:szCs w:val="24"/>
                <w:lang w:val="lt-LT"/>
              </w:rPr>
              <w:t>-33</w:t>
            </w:r>
          </w:p>
        </w:tc>
      </w:tr>
      <w:tr w:rsidR="00185B15" w:rsidRPr="00247DE9" w14:paraId="5DC61DE3" w14:textId="77777777" w:rsidTr="00185B15">
        <w:trPr>
          <w:trHeight w:val="390"/>
        </w:trPr>
        <w:tc>
          <w:tcPr>
            <w:tcW w:w="756" w:type="dxa"/>
            <w:tcBorders>
              <w:top w:val="nil"/>
              <w:left w:val="single" w:sz="4" w:space="0" w:color="000000"/>
              <w:bottom w:val="single" w:sz="4" w:space="0" w:color="000000"/>
              <w:right w:val="nil"/>
            </w:tcBorders>
            <w:vAlign w:val="bottom"/>
            <w:hideMark/>
          </w:tcPr>
          <w:p w14:paraId="0FA97AFA" w14:textId="77777777" w:rsidR="00185B15" w:rsidRPr="00247DE9" w:rsidRDefault="00185B15">
            <w:pPr>
              <w:suppressAutoHyphens/>
              <w:rPr>
                <w:sz w:val="24"/>
                <w:szCs w:val="24"/>
                <w:lang w:val="lt-LT" w:eastAsia="zh-CN"/>
              </w:rPr>
            </w:pPr>
            <w:r w:rsidRPr="00247DE9">
              <w:rPr>
                <w:sz w:val="24"/>
                <w:szCs w:val="24"/>
                <w:lang w:val="lt-LT"/>
              </w:rPr>
              <w:t>1.1.3.</w:t>
            </w:r>
          </w:p>
        </w:tc>
        <w:tc>
          <w:tcPr>
            <w:tcW w:w="2778" w:type="dxa"/>
            <w:tcBorders>
              <w:top w:val="nil"/>
              <w:left w:val="single" w:sz="4" w:space="0" w:color="000000"/>
              <w:bottom w:val="single" w:sz="4" w:space="0" w:color="000000"/>
              <w:right w:val="nil"/>
            </w:tcBorders>
            <w:vAlign w:val="bottom"/>
            <w:hideMark/>
          </w:tcPr>
          <w:p w14:paraId="73DF8FD9" w14:textId="77777777" w:rsidR="00185B15" w:rsidRPr="00247DE9" w:rsidRDefault="00185B15">
            <w:pPr>
              <w:suppressAutoHyphens/>
              <w:rPr>
                <w:sz w:val="24"/>
                <w:szCs w:val="24"/>
                <w:lang w:val="lt-LT" w:eastAsia="zh-CN"/>
              </w:rPr>
            </w:pPr>
            <w:r w:rsidRPr="00247DE9">
              <w:rPr>
                <w:sz w:val="24"/>
                <w:szCs w:val="24"/>
                <w:lang w:val="lt-LT"/>
              </w:rPr>
              <w:t xml:space="preserve">  </w:t>
            </w:r>
            <w:proofErr w:type="spellStart"/>
            <w:r w:rsidRPr="00247DE9">
              <w:rPr>
                <w:sz w:val="24"/>
                <w:szCs w:val="24"/>
                <w:lang w:val="lt-LT"/>
              </w:rPr>
              <w:t>tarpmiestis</w:t>
            </w:r>
            <w:proofErr w:type="spellEnd"/>
          </w:p>
        </w:tc>
        <w:tc>
          <w:tcPr>
            <w:tcW w:w="1393" w:type="dxa"/>
            <w:tcBorders>
              <w:top w:val="nil"/>
              <w:left w:val="single" w:sz="4" w:space="0" w:color="000000"/>
              <w:bottom w:val="single" w:sz="4" w:space="0" w:color="000000"/>
              <w:right w:val="nil"/>
            </w:tcBorders>
            <w:vAlign w:val="bottom"/>
            <w:hideMark/>
          </w:tcPr>
          <w:p w14:paraId="629E7F86" w14:textId="77777777" w:rsidR="00185B15" w:rsidRPr="00247DE9" w:rsidRDefault="00185B15">
            <w:pPr>
              <w:suppressAutoHyphens/>
              <w:jc w:val="center"/>
              <w:rPr>
                <w:sz w:val="24"/>
                <w:szCs w:val="24"/>
                <w:lang w:val="lt-LT" w:eastAsia="zh-CN"/>
              </w:rPr>
            </w:pPr>
            <w:r w:rsidRPr="00247DE9">
              <w:rPr>
                <w:sz w:val="24"/>
                <w:szCs w:val="24"/>
                <w:lang w:val="lt-LT"/>
              </w:rPr>
              <w:t>821.880</w:t>
            </w:r>
          </w:p>
        </w:tc>
        <w:tc>
          <w:tcPr>
            <w:tcW w:w="1390" w:type="dxa"/>
            <w:tcBorders>
              <w:top w:val="nil"/>
              <w:left w:val="single" w:sz="4" w:space="0" w:color="000000"/>
              <w:bottom w:val="single" w:sz="4" w:space="0" w:color="000000"/>
              <w:right w:val="nil"/>
            </w:tcBorders>
            <w:vAlign w:val="bottom"/>
            <w:hideMark/>
          </w:tcPr>
          <w:p w14:paraId="758F3615" w14:textId="77777777" w:rsidR="00185B15" w:rsidRPr="00247DE9" w:rsidRDefault="00185B15">
            <w:pPr>
              <w:suppressAutoHyphens/>
              <w:jc w:val="center"/>
              <w:rPr>
                <w:sz w:val="24"/>
                <w:szCs w:val="24"/>
                <w:lang w:val="lt-LT" w:eastAsia="zh-CN"/>
              </w:rPr>
            </w:pPr>
            <w:r w:rsidRPr="00247DE9">
              <w:rPr>
                <w:sz w:val="24"/>
                <w:szCs w:val="24"/>
                <w:lang w:val="lt-LT"/>
              </w:rPr>
              <w:t>345.403</w:t>
            </w:r>
          </w:p>
        </w:tc>
        <w:tc>
          <w:tcPr>
            <w:tcW w:w="1636" w:type="dxa"/>
            <w:tcBorders>
              <w:top w:val="nil"/>
              <w:left w:val="single" w:sz="4" w:space="0" w:color="000000"/>
              <w:bottom w:val="single" w:sz="4" w:space="0" w:color="000000"/>
              <w:right w:val="nil"/>
            </w:tcBorders>
            <w:vAlign w:val="bottom"/>
            <w:hideMark/>
          </w:tcPr>
          <w:p w14:paraId="121AADE1" w14:textId="77777777" w:rsidR="00185B15" w:rsidRPr="00247DE9" w:rsidRDefault="00185B15">
            <w:pPr>
              <w:suppressAutoHyphens/>
              <w:jc w:val="center"/>
              <w:rPr>
                <w:sz w:val="24"/>
                <w:szCs w:val="24"/>
                <w:lang w:val="lt-LT" w:eastAsia="zh-CN"/>
              </w:rPr>
            </w:pPr>
            <w:r w:rsidRPr="00247DE9">
              <w:rPr>
                <w:b/>
                <w:bCs/>
                <w:sz w:val="24"/>
                <w:szCs w:val="24"/>
                <w:lang w:val="lt-LT"/>
              </w:rPr>
              <w:t>-476.477</w:t>
            </w:r>
          </w:p>
        </w:tc>
        <w:tc>
          <w:tcPr>
            <w:tcW w:w="1741" w:type="dxa"/>
            <w:tcBorders>
              <w:top w:val="nil"/>
              <w:left w:val="single" w:sz="4" w:space="0" w:color="000000"/>
              <w:bottom w:val="single" w:sz="4" w:space="0" w:color="000000"/>
              <w:right w:val="single" w:sz="4" w:space="0" w:color="000000"/>
            </w:tcBorders>
            <w:vAlign w:val="bottom"/>
            <w:hideMark/>
          </w:tcPr>
          <w:p w14:paraId="248D5A18" w14:textId="77777777" w:rsidR="00185B15" w:rsidRPr="00247DE9" w:rsidRDefault="00185B15">
            <w:pPr>
              <w:suppressAutoHyphens/>
              <w:jc w:val="center"/>
              <w:rPr>
                <w:sz w:val="24"/>
                <w:szCs w:val="24"/>
                <w:lang w:val="lt-LT" w:eastAsia="zh-CN"/>
              </w:rPr>
            </w:pPr>
            <w:r w:rsidRPr="00247DE9">
              <w:rPr>
                <w:sz w:val="24"/>
                <w:szCs w:val="24"/>
                <w:lang w:val="lt-LT"/>
              </w:rPr>
              <w:t>-58</w:t>
            </w:r>
          </w:p>
        </w:tc>
      </w:tr>
      <w:tr w:rsidR="00185B15" w:rsidRPr="00247DE9" w14:paraId="49D2802F" w14:textId="77777777" w:rsidTr="00185B15">
        <w:trPr>
          <w:trHeight w:val="630"/>
        </w:trPr>
        <w:tc>
          <w:tcPr>
            <w:tcW w:w="756" w:type="dxa"/>
            <w:tcBorders>
              <w:top w:val="nil"/>
              <w:left w:val="single" w:sz="4" w:space="0" w:color="000000"/>
              <w:bottom w:val="single" w:sz="4" w:space="0" w:color="000000"/>
              <w:right w:val="nil"/>
            </w:tcBorders>
            <w:vAlign w:val="bottom"/>
            <w:hideMark/>
          </w:tcPr>
          <w:p w14:paraId="14757F22" w14:textId="77777777" w:rsidR="00185B15" w:rsidRPr="00247DE9" w:rsidRDefault="00185B15">
            <w:pPr>
              <w:suppressAutoHyphens/>
              <w:rPr>
                <w:sz w:val="24"/>
                <w:szCs w:val="24"/>
                <w:lang w:val="lt-LT" w:eastAsia="zh-CN"/>
              </w:rPr>
            </w:pPr>
            <w:r w:rsidRPr="00247DE9">
              <w:rPr>
                <w:b/>
                <w:bCs/>
                <w:i/>
                <w:iCs/>
                <w:sz w:val="24"/>
                <w:szCs w:val="24"/>
                <w:lang w:val="lt-LT"/>
              </w:rPr>
              <w:t>1.2.</w:t>
            </w:r>
          </w:p>
        </w:tc>
        <w:tc>
          <w:tcPr>
            <w:tcW w:w="2778" w:type="dxa"/>
            <w:tcBorders>
              <w:top w:val="nil"/>
              <w:left w:val="single" w:sz="4" w:space="0" w:color="000000"/>
              <w:bottom w:val="single" w:sz="4" w:space="0" w:color="000000"/>
              <w:right w:val="nil"/>
            </w:tcBorders>
            <w:vAlign w:val="bottom"/>
            <w:hideMark/>
          </w:tcPr>
          <w:p w14:paraId="7A9B03E1" w14:textId="77777777" w:rsidR="00185B15" w:rsidRPr="00247DE9" w:rsidRDefault="00185B15">
            <w:pPr>
              <w:suppressAutoHyphens/>
              <w:rPr>
                <w:sz w:val="24"/>
                <w:szCs w:val="24"/>
                <w:lang w:val="lt-LT" w:eastAsia="zh-CN"/>
              </w:rPr>
            </w:pPr>
            <w:r w:rsidRPr="00247DE9">
              <w:rPr>
                <w:b/>
                <w:bCs/>
                <w:i/>
                <w:iCs/>
                <w:sz w:val="24"/>
                <w:szCs w:val="24"/>
                <w:lang w:val="lt-LT"/>
              </w:rPr>
              <w:t>Iš jų: kompensacija už lengvatinį važiavimą</w:t>
            </w:r>
          </w:p>
        </w:tc>
        <w:tc>
          <w:tcPr>
            <w:tcW w:w="1393" w:type="dxa"/>
            <w:tcBorders>
              <w:top w:val="nil"/>
              <w:left w:val="single" w:sz="4" w:space="0" w:color="000000"/>
              <w:bottom w:val="single" w:sz="4" w:space="0" w:color="000000"/>
              <w:right w:val="nil"/>
            </w:tcBorders>
            <w:vAlign w:val="bottom"/>
            <w:hideMark/>
          </w:tcPr>
          <w:p w14:paraId="27F0C859" w14:textId="77777777" w:rsidR="00185B15" w:rsidRPr="00247DE9" w:rsidRDefault="00185B15">
            <w:pPr>
              <w:suppressAutoHyphens/>
              <w:jc w:val="center"/>
              <w:rPr>
                <w:sz w:val="24"/>
                <w:szCs w:val="24"/>
                <w:lang w:val="lt-LT" w:eastAsia="zh-CN"/>
              </w:rPr>
            </w:pPr>
            <w:r w:rsidRPr="00247DE9">
              <w:rPr>
                <w:b/>
                <w:bCs/>
                <w:i/>
                <w:iCs/>
                <w:sz w:val="24"/>
                <w:szCs w:val="24"/>
                <w:lang w:val="lt-LT"/>
              </w:rPr>
              <w:t>305.814</w:t>
            </w:r>
          </w:p>
        </w:tc>
        <w:tc>
          <w:tcPr>
            <w:tcW w:w="1390" w:type="dxa"/>
            <w:tcBorders>
              <w:top w:val="nil"/>
              <w:left w:val="single" w:sz="4" w:space="0" w:color="000000"/>
              <w:bottom w:val="single" w:sz="4" w:space="0" w:color="000000"/>
              <w:right w:val="nil"/>
            </w:tcBorders>
            <w:vAlign w:val="bottom"/>
            <w:hideMark/>
          </w:tcPr>
          <w:p w14:paraId="5B42D0AD" w14:textId="77777777" w:rsidR="00185B15" w:rsidRPr="00247DE9" w:rsidRDefault="00185B15">
            <w:pPr>
              <w:suppressAutoHyphens/>
              <w:jc w:val="center"/>
              <w:rPr>
                <w:sz w:val="24"/>
                <w:szCs w:val="24"/>
                <w:lang w:val="lt-LT" w:eastAsia="zh-CN"/>
              </w:rPr>
            </w:pPr>
            <w:r w:rsidRPr="00247DE9">
              <w:rPr>
                <w:b/>
                <w:bCs/>
                <w:i/>
                <w:iCs/>
                <w:sz w:val="24"/>
                <w:szCs w:val="24"/>
                <w:lang w:val="lt-LT"/>
              </w:rPr>
              <w:t>135.015</w:t>
            </w:r>
          </w:p>
        </w:tc>
        <w:tc>
          <w:tcPr>
            <w:tcW w:w="1636" w:type="dxa"/>
            <w:tcBorders>
              <w:top w:val="nil"/>
              <w:left w:val="single" w:sz="4" w:space="0" w:color="000000"/>
              <w:bottom w:val="single" w:sz="4" w:space="0" w:color="000000"/>
              <w:right w:val="nil"/>
            </w:tcBorders>
            <w:vAlign w:val="bottom"/>
            <w:hideMark/>
          </w:tcPr>
          <w:p w14:paraId="2D4C6E97" w14:textId="77777777" w:rsidR="00185B15" w:rsidRPr="00247DE9" w:rsidRDefault="00185B15">
            <w:pPr>
              <w:suppressAutoHyphens/>
              <w:jc w:val="center"/>
              <w:rPr>
                <w:sz w:val="24"/>
                <w:szCs w:val="24"/>
                <w:lang w:val="lt-LT" w:eastAsia="zh-CN"/>
              </w:rPr>
            </w:pPr>
            <w:r w:rsidRPr="00247DE9">
              <w:rPr>
                <w:b/>
                <w:bCs/>
                <w:i/>
                <w:iCs/>
                <w:sz w:val="24"/>
                <w:szCs w:val="24"/>
                <w:lang w:val="lt-LT"/>
              </w:rPr>
              <w:t>-170.799</w:t>
            </w:r>
          </w:p>
        </w:tc>
        <w:tc>
          <w:tcPr>
            <w:tcW w:w="1741" w:type="dxa"/>
            <w:tcBorders>
              <w:top w:val="nil"/>
              <w:left w:val="single" w:sz="4" w:space="0" w:color="000000"/>
              <w:bottom w:val="single" w:sz="4" w:space="0" w:color="000000"/>
              <w:right w:val="single" w:sz="4" w:space="0" w:color="000000"/>
            </w:tcBorders>
            <w:vAlign w:val="bottom"/>
            <w:hideMark/>
          </w:tcPr>
          <w:p w14:paraId="683B665A" w14:textId="77777777" w:rsidR="00185B15" w:rsidRPr="00247DE9" w:rsidRDefault="00185B15">
            <w:pPr>
              <w:suppressAutoHyphens/>
              <w:jc w:val="center"/>
              <w:rPr>
                <w:sz w:val="24"/>
                <w:szCs w:val="24"/>
                <w:lang w:val="lt-LT" w:eastAsia="zh-CN"/>
              </w:rPr>
            </w:pPr>
            <w:r w:rsidRPr="00247DE9">
              <w:rPr>
                <w:i/>
                <w:iCs/>
                <w:sz w:val="24"/>
                <w:szCs w:val="24"/>
                <w:lang w:val="lt-LT"/>
              </w:rPr>
              <w:t>-56</w:t>
            </w:r>
          </w:p>
        </w:tc>
      </w:tr>
      <w:tr w:rsidR="00185B15" w:rsidRPr="00247DE9" w14:paraId="3C50F445"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2B8C5DB9" w14:textId="77777777" w:rsidR="00185B15" w:rsidRPr="00247DE9" w:rsidRDefault="00185B15">
            <w:pPr>
              <w:suppressAutoHyphens/>
              <w:rPr>
                <w:sz w:val="24"/>
                <w:szCs w:val="24"/>
                <w:lang w:val="lt-LT" w:eastAsia="zh-CN"/>
              </w:rPr>
            </w:pPr>
            <w:r w:rsidRPr="00247DE9">
              <w:rPr>
                <w:sz w:val="24"/>
                <w:szCs w:val="24"/>
                <w:lang w:val="lt-LT"/>
              </w:rPr>
              <w:t>1.2.1.</w:t>
            </w:r>
          </w:p>
        </w:tc>
        <w:tc>
          <w:tcPr>
            <w:tcW w:w="2778" w:type="dxa"/>
            <w:tcBorders>
              <w:top w:val="nil"/>
              <w:left w:val="single" w:sz="4" w:space="0" w:color="000000"/>
              <w:bottom w:val="single" w:sz="4" w:space="0" w:color="000000"/>
              <w:right w:val="nil"/>
            </w:tcBorders>
            <w:vAlign w:val="bottom"/>
            <w:hideMark/>
          </w:tcPr>
          <w:p w14:paraId="42F44318" w14:textId="77777777" w:rsidR="00185B15" w:rsidRPr="00247DE9" w:rsidRDefault="00185B15">
            <w:pPr>
              <w:suppressAutoHyphens/>
              <w:rPr>
                <w:sz w:val="24"/>
                <w:szCs w:val="24"/>
                <w:lang w:val="lt-LT" w:eastAsia="zh-CN"/>
              </w:rPr>
            </w:pPr>
            <w:r w:rsidRPr="00247DE9">
              <w:rPr>
                <w:sz w:val="24"/>
                <w:szCs w:val="24"/>
                <w:lang w:val="lt-LT"/>
              </w:rPr>
              <w:t xml:space="preserve">  miestas</w:t>
            </w:r>
          </w:p>
        </w:tc>
        <w:tc>
          <w:tcPr>
            <w:tcW w:w="1393" w:type="dxa"/>
            <w:tcBorders>
              <w:top w:val="nil"/>
              <w:left w:val="single" w:sz="4" w:space="0" w:color="000000"/>
              <w:bottom w:val="single" w:sz="4" w:space="0" w:color="000000"/>
              <w:right w:val="nil"/>
            </w:tcBorders>
            <w:vAlign w:val="bottom"/>
            <w:hideMark/>
          </w:tcPr>
          <w:p w14:paraId="2FBED519" w14:textId="77777777" w:rsidR="00185B15" w:rsidRPr="00247DE9" w:rsidRDefault="00185B15">
            <w:pPr>
              <w:suppressAutoHyphens/>
              <w:jc w:val="center"/>
              <w:rPr>
                <w:sz w:val="24"/>
                <w:szCs w:val="24"/>
                <w:lang w:val="lt-LT" w:eastAsia="zh-CN"/>
              </w:rPr>
            </w:pPr>
            <w:r w:rsidRPr="00247DE9">
              <w:rPr>
                <w:sz w:val="24"/>
                <w:szCs w:val="24"/>
                <w:lang w:val="lt-LT"/>
              </w:rPr>
              <w:t>24.982</w:t>
            </w:r>
          </w:p>
        </w:tc>
        <w:tc>
          <w:tcPr>
            <w:tcW w:w="1390" w:type="dxa"/>
            <w:tcBorders>
              <w:top w:val="nil"/>
              <w:left w:val="single" w:sz="4" w:space="0" w:color="000000"/>
              <w:bottom w:val="single" w:sz="4" w:space="0" w:color="000000"/>
              <w:right w:val="nil"/>
            </w:tcBorders>
            <w:vAlign w:val="bottom"/>
            <w:hideMark/>
          </w:tcPr>
          <w:p w14:paraId="4701F0B4" w14:textId="77777777" w:rsidR="00185B15" w:rsidRPr="00247DE9" w:rsidRDefault="00185B15">
            <w:pPr>
              <w:suppressAutoHyphens/>
              <w:jc w:val="center"/>
              <w:rPr>
                <w:sz w:val="24"/>
                <w:szCs w:val="24"/>
                <w:lang w:val="lt-LT" w:eastAsia="zh-CN"/>
              </w:rPr>
            </w:pPr>
            <w:r w:rsidRPr="00247DE9">
              <w:rPr>
                <w:sz w:val="24"/>
                <w:szCs w:val="24"/>
                <w:lang w:val="lt-LT"/>
              </w:rPr>
              <w:t>16.632</w:t>
            </w:r>
          </w:p>
        </w:tc>
        <w:tc>
          <w:tcPr>
            <w:tcW w:w="1636" w:type="dxa"/>
            <w:tcBorders>
              <w:top w:val="nil"/>
              <w:left w:val="single" w:sz="4" w:space="0" w:color="000000"/>
              <w:bottom w:val="single" w:sz="4" w:space="0" w:color="000000"/>
              <w:right w:val="nil"/>
            </w:tcBorders>
            <w:vAlign w:val="bottom"/>
            <w:hideMark/>
          </w:tcPr>
          <w:p w14:paraId="307C1451" w14:textId="77777777" w:rsidR="00185B15" w:rsidRPr="00247DE9" w:rsidRDefault="00185B15">
            <w:pPr>
              <w:suppressAutoHyphens/>
              <w:jc w:val="center"/>
              <w:rPr>
                <w:sz w:val="24"/>
                <w:szCs w:val="24"/>
                <w:lang w:val="lt-LT" w:eastAsia="zh-CN"/>
              </w:rPr>
            </w:pPr>
            <w:r w:rsidRPr="00247DE9">
              <w:rPr>
                <w:b/>
                <w:bCs/>
                <w:sz w:val="24"/>
                <w:szCs w:val="24"/>
                <w:lang w:val="lt-LT"/>
              </w:rPr>
              <w:t>-8.350</w:t>
            </w:r>
          </w:p>
        </w:tc>
        <w:tc>
          <w:tcPr>
            <w:tcW w:w="1741" w:type="dxa"/>
            <w:tcBorders>
              <w:top w:val="nil"/>
              <w:left w:val="single" w:sz="4" w:space="0" w:color="000000"/>
              <w:bottom w:val="single" w:sz="4" w:space="0" w:color="000000"/>
              <w:right w:val="single" w:sz="4" w:space="0" w:color="000000"/>
            </w:tcBorders>
            <w:vAlign w:val="bottom"/>
            <w:hideMark/>
          </w:tcPr>
          <w:p w14:paraId="2324229F" w14:textId="77777777" w:rsidR="00185B15" w:rsidRPr="00247DE9" w:rsidRDefault="00185B15">
            <w:pPr>
              <w:suppressAutoHyphens/>
              <w:jc w:val="center"/>
              <w:rPr>
                <w:sz w:val="24"/>
                <w:szCs w:val="24"/>
                <w:lang w:val="lt-LT" w:eastAsia="zh-CN"/>
              </w:rPr>
            </w:pPr>
            <w:r w:rsidRPr="00247DE9">
              <w:rPr>
                <w:sz w:val="24"/>
                <w:szCs w:val="24"/>
                <w:lang w:val="lt-LT"/>
              </w:rPr>
              <w:t>-33</w:t>
            </w:r>
          </w:p>
        </w:tc>
      </w:tr>
      <w:tr w:rsidR="00185B15" w:rsidRPr="00247DE9" w14:paraId="0D6B56A5"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08B7D1FD" w14:textId="77777777" w:rsidR="00185B15" w:rsidRPr="00247DE9" w:rsidRDefault="00185B15">
            <w:pPr>
              <w:suppressAutoHyphens/>
              <w:rPr>
                <w:sz w:val="24"/>
                <w:szCs w:val="24"/>
                <w:lang w:val="lt-LT" w:eastAsia="zh-CN"/>
              </w:rPr>
            </w:pPr>
            <w:r w:rsidRPr="00247DE9">
              <w:rPr>
                <w:sz w:val="24"/>
                <w:szCs w:val="24"/>
                <w:lang w:val="lt-LT"/>
              </w:rPr>
              <w:t>1.2.2.</w:t>
            </w:r>
          </w:p>
        </w:tc>
        <w:tc>
          <w:tcPr>
            <w:tcW w:w="2778" w:type="dxa"/>
            <w:tcBorders>
              <w:top w:val="nil"/>
              <w:left w:val="single" w:sz="4" w:space="0" w:color="000000"/>
              <w:bottom w:val="single" w:sz="4" w:space="0" w:color="000000"/>
              <w:right w:val="nil"/>
            </w:tcBorders>
            <w:vAlign w:val="bottom"/>
            <w:hideMark/>
          </w:tcPr>
          <w:p w14:paraId="0EFF7F00" w14:textId="77777777" w:rsidR="00185B15" w:rsidRPr="00247DE9" w:rsidRDefault="00185B15">
            <w:pPr>
              <w:suppressAutoHyphens/>
              <w:rPr>
                <w:sz w:val="24"/>
                <w:szCs w:val="24"/>
                <w:lang w:val="lt-LT" w:eastAsia="zh-CN"/>
              </w:rPr>
            </w:pPr>
            <w:r w:rsidRPr="00247DE9">
              <w:rPr>
                <w:sz w:val="24"/>
                <w:szCs w:val="24"/>
                <w:lang w:val="lt-LT"/>
              </w:rPr>
              <w:t xml:space="preserve">  priemiestis</w:t>
            </w:r>
          </w:p>
        </w:tc>
        <w:tc>
          <w:tcPr>
            <w:tcW w:w="1393" w:type="dxa"/>
            <w:tcBorders>
              <w:top w:val="nil"/>
              <w:left w:val="single" w:sz="4" w:space="0" w:color="000000"/>
              <w:bottom w:val="single" w:sz="4" w:space="0" w:color="000000"/>
              <w:right w:val="nil"/>
            </w:tcBorders>
            <w:vAlign w:val="bottom"/>
            <w:hideMark/>
          </w:tcPr>
          <w:p w14:paraId="7AB7DD4A" w14:textId="77777777" w:rsidR="00185B15" w:rsidRPr="00247DE9" w:rsidRDefault="00185B15">
            <w:pPr>
              <w:suppressAutoHyphens/>
              <w:jc w:val="center"/>
              <w:rPr>
                <w:sz w:val="24"/>
                <w:szCs w:val="24"/>
                <w:lang w:val="lt-LT" w:eastAsia="zh-CN"/>
              </w:rPr>
            </w:pPr>
            <w:r w:rsidRPr="00247DE9">
              <w:rPr>
                <w:sz w:val="24"/>
                <w:szCs w:val="24"/>
                <w:lang w:val="lt-LT"/>
              </w:rPr>
              <w:t>20.388</w:t>
            </w:r>
          </w:p>
        </w:tc>
        <w:tc>
          <w:tcPr>
            <w:tcW w:w="1390" w:type="dxa"/>
            <w:tcBorders>
              <w:top w:val="nil"/>
              <w:left w:val="single" w:sz="4" w:space="0" w:color="000000"/>
              <w:bottom w:val="single" w:sz="4" w:space="0" w:color="000000"/>
              <w:right w:val="nil"/>
            </w:tcBorders>
            <w:vAlign w:val="bottom"/>
            <w:hideMark/>
          </w:tcPr>
          <w:p w14:paraId="7AB16C38" w14:textId="77777777" w:rsidR="00185B15" w:rsidRPr="00247DE9" w:rsidRDefault="00185B15">
            <w:pPr>
              <w:suppressAutoHyphens/>
              <w:jc w:val="center"/>
              <w:rPr>
                <w:sz w:val="24"/>
                <w:szCs w:val="24"/>
                <w:lang w:val="lt-LT" w:eastAsia="zh-CN"/>
              </w:rPr>
            </w:pPr>
            <w:r w:rsidRPr="00247DE9">
              <w:rPr>
                <w:sz w:val="24"/>
                <w:szCs w:val="24"/>
                <w:lang w:val="lt-LT"/>
              </w:rPr>
              <w:t>13.651</w:t>
            </w:r>
          </w:p>
        </w:tc>
        <w:tc>
          <w:tcPr>
            <w:tcW w:w="1636" w:type="dxa"/>
            <w:tcBorders>
              <w:top w:val="nil"/>
              <w:left w:val="single" w:sz="4" w:space="0" w:color="000000"/>
              <w:bottom w:val="single" w:sz="4" w:space="0" w:color="000000"/>
              <w:right w:val="nil"/>
            </w:tcBorders>
            <w:vAlign w:val="bottom"/>
            <w:hideMark/>
          </w:tcPr>
          <w:p w14:paraId="0391A8CB" w14:textId="77777777" w:rsidR="00185B15" w:rsidRPr="00247DE9" w:rsidRDefault="00185B15">
            <w:pPr>
              <w:suppressAutoHyphens/>
              <w:jc w:val="center"/>
              <w:rPr>
                <w:sz w:val="24"/>
                <w:szCs w:val="24"/>
                <w:lang w:val="lt-LT" w:eastAsia="zh-CN"/>
              </w:rPr>
            </w:pPr>
            <w:r w:rsidRPr="00247DE9">
              <w:rPr>
                <w:b/>
                <w:bCs/>
                <w:sz w:val="24"/>
                <w:szCs w:val="24"/>
                <w:lang w:val="lt-LT"/>
              </w:rPr>
              <w:t>-6.737</w:t>
            </w:r>
          </w:p>
        </w:tc>
        <w:tc>
          <w:tcPr>
            <w:tcW w:w="1741" w:type="dxa"/>
            <w:tcBorders>
              <w:top w:val="nil"/>
              <w:left w:val="single" w:sz="4" w:space="0" w:color="000000"/>
              <w:bottom w:val="single" w:sz="4" w:space="0" w:color="000000"/>
              <w:right w:val="single" w:sz="4" w:space="0" w:color="000000"/>
            </w:tcBorders>
            <w:vAlign w:val="bottom"/>
            <w:hideMark/>
          </w:tcPr>
          <w:p w14:paraId="06051E62" w14:textId="77777777" w:rsidR="00185B15" w:rsidRPr="00247DE9" w:rsidRDefault="00185B15">
            <w:pPr>
              <w:suppressAutoHyphens/>
              <w:jc w:val="center"/>
              <w:rPr>
                <w:sz w:val="24"/>
                <w:szCs w:val="24"/>
                <w:lang w:val="lt-LT" w:eastAsia="zh-CN"/>
              </w:rPr>
            </w:pPr>
            <w:r w:rsidRPr="00247DE9">
              <w:rPr>
                <w:sz w:val="24"/>
                <w:szCs w:val="24"/>
                <w:lang w:val="lt-LT"/>
              </w:rPr>
              <w:t>-33</w:t>
            </w:r>
          </w:p>
        </w:tc>
      </w:tr>
      <w:tr w:rsidR="00185B15" w:rsidRPr="00247DE9" w14:paraId="50F53518"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69E79E87" w14:textId="77777777" w:rsidR="00185B15" w:rsidRPr="00247DE9" w:rsidRDefault="00185B15">
            <w:pPr>
              <w:suppressAutoHyphens/>
              <w:rPr>
                <w:sz w:val="24"/>
                <w:szCs w:val="24"/>
                <w:lang w:val="lt-LT" w:eastAsia="zh-CN"/>
              </w:rPr>
            </w:pPr>
            <w:r w:rsidRPr="00247DE9">
              <w:rPr>
                <w:sz w:val="24"/>
                <w:szCs w:val="24"/>
                <w:lang w:val="lt-LT"/>
              </w:rPr>
              <w:t>1.2.3.</w:t>
            </w:r>
          </w:p>
        </w:tc>
        <w:tc>
          <w:tcPr>
            <w:tcW w:w="2778" w:type="dxa"/>
            <w:tcBorders>
              <w:top w:val="nil"/>
              <w:left w:val="single" w:sz="4" w:space="0" w:color="000000"/>
              <w:bottom w:val="single" w:sz="4" w:space="0" w:color="000000"/>
              <w:right w:val="nil"/>
            </w:tcBorders>
            <w:vAlign w:val="bottom"/>
            <w:hideMark/>
          </w:tcPr>
          <w:p w14:paraId="75B98FC9" w14:textId="77777777" w:rsidR="00185B15" w:rsidRPr="00247DE9" w:rsidRDefault="00185B15">
            <w:pPr>
              <w:suppressAutoHyphens/>
              <w:rPr>
                <w:sz w:val="24"/>
                <w:szCs w:val="24"/>
                <w:lang w:val="lt-LT" w:eastAsia="zh-CN"/>
              </w:rPr>
            </w:pPr>
            <w:r w:rsidRPr="00247DE9">
              <w:rPr>
                <w:sz w:val="24"/>
                <w:szCs w:val="24"/>
                <w:lang w:val="lt-LT"/>
              </w:rPr>
              <w:t xml:space="preserve">  </w:t>
            </w:r>
            <w:proofErr w:type="spellStart"/>
            <w:r w:rsidRPr="00247DE9">
              <w:rPr>
                <w:sz w:val="24"/>
                <w:szCs w:val="24"/>
                <w:lang w:val="lt-LT"/>
              </w:rPr>
              <w:t>tarpmiestis</w:t>
            </w:r>
            <w:proofErr w:type="spellEnd"/>
          </w:p>
        </w:tc>
        <w:tc>
          <w:tcPr>
            <w:tcW w:w="1393" w:type="dxa"/>
            <w:tcBorders>
              <w:top w:val="nil"/>
              <w:left w:val="single" w:sz="4" w:space="0" w:color="000000"/>
              <w:bottom w:val="single" w:sz="4" w:space="0" w:color="000000"/>
              <w:right w:val="nil"/>
            </w:tcBorders>
            <w:vAlign w:val="bottom"/>
            <w:hideMark/>
          </w:tcPr>
          <w:p w14:paraId="6ACDFDB0" w14:textId="77777777" w:rsidR="00185B15" w:rsidRPr="00247DE9" w:rsidRDefault="00185B15">
            <w:pPr>
              <w:suppressAutoHyphens/>
              <w:jc w:val="center"/>
              <w:rPr>
                <w:sz w:val="24"/>
                <w:szCs w:val="24"/>
                <w:lang w:val="lt-LT" w:eastAsia="zh-CN"/>
              </w:rPr>
            </w:pPr>
            <w:r w:rsidRPr="00247DE9">
              <w:rPr>
                <w:sz w:val="24"/>
                <w:szCs w:val="24"/>
                <w:lang w:val="lt-LT"/>
              </w:rPr>
              <w:t>260.444</w:t>
            </w:r>
          </w:p>
        </w:tc>
        <w:tc>
          <w:tcPr>
            <w:tcW w:w="1390" w:type="dxa"/>
            <w:tcBorders>
              <w:top w:val="nil"/>
              <w:left w:val="single" w:sz="4" w:space="0" w:color="000000"/>
              <w:bottom w:val="single" w:sz="4" w:space="0" w:color="000000"/>
              <w:right w:val="nil"/>
            </w:tcBorders>
            <w:vAlign w:val="bottom"/>
            <w:hideMark/>
          </w:tcPr>
          <w:p w14:paraId="7B8A49E3" w14:textId="77777777" w:rsidR="00185B15" w:rsidRPr="00247DE9" w:rsidRDefault="00185B15">
            <w:pPr>
              <w:suppressAutoHyphens/>
              <w:jc w:val="center"/>
              <w:rPr>
                <w:sz w:val="24"/>
                <w:szCs w:val="24"/>
                <w:lang w:val="lt-LT" w:eastAsia="zh-CN"/>
              </w:rPr>
            </w:pPr>
            <w:r w:rsidRPr="00247DE9">
              <w:rPr>
                <w:sz w:val="24"/>
                <w:szCs w:val="24"/>
                <w:lang w:val="lt-LT"/>
              </w:rPr>
              <w:t>104.732</w:t>
            </w:r>
          </w:p>
        </w:tc>
        <w:tc>
          <w:tcPr>
            <w:tcW w:w="1636" w:type="dxa"/>
            <w:tcBorders>
              <w:top w:val="nil"/>
              <w:left w:val="single" w:sz="4" w:space="0" w:color="000000"/>
              <w:bottom w:val="single" w:sz="4" w:space="0" w:color="000000"/>
              <w:right w:val="nil"/>
            </w:tcBorders>
            <w:vAlign w:val="bottom"/>
            <w:hideMark/>
          </w:tcPr>
          <w:p w14:paraId="03417A89" w14:textId="77777777" w:rsidR="00185B15" w:rsidRPr="00247DE9" w:rsidRDefault="00185B15">
            <w:pPr>
              <w:suppressAutoHyphens/>
              <w:jc w:val="center"/>
              <w:rPr>
                <w:sz w:val="24"/>
                <w:szCs w:val="24"/>
                <w:lang w:val="lt-LT" w:eastAsia="zh-CN"/>
              </w:rPr>
            </w:pPr>
            <w:r w:rsidRPr="00247DE9">
              <w:rPr>
                <w:b/>
                <w:bCs/>
                <w:sz w:val="24"/>
                <w:szCs w:val="24"/>
                <w:lang w:val="lt-LT"/>
              </w:rPr>
              <w:t>-155.712</w:t>
            </w:r>
          </w:p>
        </w:tc>
        <w:tc>
          <w:tcPr>
            <w:tcW w:w="1741" w:type="dxa"/>
            <w:tcBorders>
              <w:top w:val="nil"/>
              <w:left w:val="single" w:sz="4" w:space="0" w:color="000000"/>
              <w:bottom w:val="single" w:sz="4" w:space="0" w:color="000000"/>
              <w:right w:val="single" w:sz="4" w:space="0" w:color="000000"/>
            </w:tcBorders>
            <w:vAlign w:val="bottom"/>
            <w:hideMark/>
          </w:tcPr>
          <w:p w14:paraId="020690FF" w14:textId="77777777" w:rsidR="00185B15" w:rsidRPr="00247DE9" w:rsidRDefault="00185B15">
            <w:pPr>
              <w:suppressAutoHyphens/>
              <w:jc w:val="center"/>
              <w:rPr>
                <w:sz w:val="24"/>
                <w:szCs w:val="24"/>
                <w:lang w:val="lt-LT" w:eastAsia="zh-CN"/>
              </w:rPr>
            </w:pPr>
            <w:r w:rsidRPr="00247DE9">
              <w:rPr>
                <w:sz w:val="24"/>
                <w:szCs w:val="24"/>
                <w:lang w:val="lt-LT"/>
              </w:rPr>
              <w:t>-60</w:t>
            </w:r>
          </w:p>
        </w:tc>
      </w:tr>
      <w:tr w:rsidR="00185B15" w:rsidRPr="00247DE9" w14:paraId="2E0099CD"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6A02BBDE" w14:textId="77777777" w:rsidR="00185B15" w:rsidRPr="00247DE9" w:rsidRDefault="00185B15">
            <w:pPr>
              <w:suppressAutoHyphens/>
              <w:rPr>
                <w:sz w:val="24"/>
                <w:szCs w:val="24"/>
                <w:lang w:val="lt-LT" w:eastAsia="zh-CN"/>
              </w:rPr>
            </w:pPr>
            <w:r w:rsidRPr="00247DE9">
              <w:rPr>
                <w:b/>
                <w:bCs/>
                <w:i/>
                <w:iCs/>
                <w:sz w:val="24"/>
                <w:szCs w:val="24"/>
                <w:lang w:val="lt-LT"/>
              </w:rPr>
              <w:t>1.3.</w:t>
            </w:r>
          </w:p>
        </w:tc>
        <w:tc>
          <w:tcPr>
            <w:tcW w:w="2778" w:type="dxa"/>
            <w:tcBorders>
              <w:top w:val="nil"/>
              <w:left w:val="single" w:sz="4" w:space="0" w:color="000000"/>
              <w:bottom w:val="single" w:sz="4" w:space="0" w:color="000000"/>
              <w:right w:val="nil"/>
            </w:tcBorders>
            <w:vAlign w:val="bottom"/>
            <w:hideMark/>
          </w:tcPr>
          <w:p w14:paraId="05EE2A44" w14:textId="77777777" w:rsidR="00185B15" w:rsidRPr="00247DE9" w:rsidRDefault="00185B15">
            <w:pPr>
              <w:suppressAutoHyphens/>
              <w:rPr>
                <w:sz w:val="24"/>
                <w:szCs w:val="24"/>
                <w:lang w:val="lt-LT" w:eastAsia="zh-CN"/>
              </w:rPr>
            </w:pPr>
            <w:r w:rsidRPr="00247DE9">
              <w:rPr>
                <w:b/>
                <w:bCs/>
                <w:i/>
                <w:iCs/>
                <w:sz w:val="24"/>
                <w:szCs w:val="24"/>
                <w:lang w:val="lt-LT"/>
              </w:rPr>
              <w:t>Iš jų: už mokinių vežimą</w:t>
            </w:r>
          </w:p>
        </w:tc>
        <w:tc>
          <w:tcPr>
            <w:tcW w:w="1393" w:type="dxa"/>
            <w:tcBorders>
              <w:top w:val="nil"/>
              <w:left w:val="single" w:sz="4" w:space="0" w:color="000000"/>
              <w:bottom w:val="single" w:sz="4" w:space="0" w:color="000000"/>
              <w:right w:val="nil"/>
            </w:tcBorders>
            <w:vAlign w:val="bottom"/>
            <w:hideMark/>
          </w:tcPr>
          <w:p w14:paraId="1CD8146C" w14:textId="77777777" w:rsidR="00185B15" w:rsidRPr="00247DE9" w:rsidRDefault="00185B15">
            <w:pPr>
              <w:suppressAutoHyphens/>
              <w:jc w:val="center"/>
              <w:rPr>
                <w:sz w:val="24"/>
                <w:szCs w:val="24"/>
                <w:lang w:val="lt-LT" w:eastAsia="zh-CN"/>
              </w:rPr>
            </w:pPr>
            <w:r w:rsidRPr="00247DE9">
              <w:rPr>
                <w:b/>
                <w:bCs/>
                <w:i/>
                <w:iCs/>
                <w:sz w:val="24"/>
                <w:szCs w:val="24"/>
                <w:lang w:val="lt-LT"/>
              </w:rPr>
              <w:t>318.929</w:t>
            </w:r>
          </w:p>
        </w:tc>
        <w:tc>
          <w:tcPr>
            <w:tcW w:w="1390" w:type="dxa"/>
            <w:tcBorders>
              <w:top w:val="nil"/>
              <w:left w:val="single" w:sz="4" w:space="0" w:color="000000"/>
              <w:bottom w:val="single" w:sz="4" w:space="0" w:color="000000"/>
              <w:right w:val="nil"/>
            </w:tcBorders>
            <w:vAlign w:val="bottom"/>
            <w:hideMark/>
          </w:tcPr>
          <w:p w14:paraId="28944309" w14:textId="77777777" w:rsidR="00185B15" w:rsidRPr="00247DE9" w:rsidRDefault="00185B15">
            <w:pPr>
              <w:suppressAutoHyphens/>
              <w:jc w:val="center"/>
              <w:rPr>
                <w:sz w:val="24"/>
                <w:szCs w:val="24"/>
                <w:lang w:val="lt-LT" w:eastAsia="zh-CN"/>
              </w:rPr>
            </w:pPr>
            <w:r w:rsidRPr="00247DE9">
              <w:rPr>
                <w:b/>
                <w:bCs/>
                <w:i/>
                <w:iCs/>
                <w:sz w:val="24"/>
                <w:szCs w:val="24"/>
                <w:lang w:val="lt-LT"/>
              </w:rPr>
              <w:t>195.545</w:t>
            </w:r>
          </w:p>
        </w:tc>
        <w:tc>
          <w:tcPr>
            <w:tcW w:w="1636" w:type="dxa"/>
            <w:tcBorders>
              <w:top w:val="nil"/>
              <w:left w:val="single" w:sz="4" w:space="0" w:color="000000"/>
              <w:bottom w:val="single" w:sz="4" w:space="0" w:color="000000"/>
              <w:right w:val="nil"/>
            </w:tcBorders>
            <w:vAlign w:val="bottom"/>
            <w:hideMark/>
          </w:tcPr>
          <w:p w14:paraId="5ADC74E7" w14:textId="77777777" w:rsidR="00185B15" w:rsidRPr="00247DE9" w:rsidRDefault="00185B15">
            <w:pPr>
              <w:suppressAutoHyphens/>
              <w:jc w:val="center"/>
              <w:rPr>
                <w:sz w:val="24"/>
                <w:szCs w:val="24"/>
                <w:lang w:val="lt-LT" w:eastAsia="zh-CN"/>
              </w:rPr>
            </w:pPr>
            <w:r w:rsidRPr="00247DE9">
              <w:rPr>
                <w:b/>
                <w:bCs/>
                <w:i/>
                <w:iCs/>
                <w:sz w:val="24"/>
                <w:szCs w:val="24"/>
                <w:lang w:val="lt-LT"/>
              </w:rPr>
              <w:t>-123.384</w:t>
            </w:r>
          </w:p>
        </w:tc>
        <w:tc>
          <w:tcPr>
            <w:tcW w:w="1741" w:type="dxa"/>
            <w:tcBorders>
              <w:top w:val="nil"/>
              <w:left w:val="single" w:sz="4" w:space="0" w:color="000000"/>
              <w:bottom w:val="single" w:sz="4" w:space="0" w:color="000000"/>
              <w:right w:val="single" w:sz="4" w:space="0" w:color="000000"/>
            </w:tcBorders>
            <w:vAlign w:val="bottom"/>
            <w:hideMark/>
          </w:tcPr>
          <w:p w14:paraId="567DAA71" w14:textId="77777777" w:rsidR="00185B15" w:rsidRPr="00247DE9" w:rsidRDefault="00185B15">
            <w:pPr>
              <w:suppressAutoHyphens/>
              <w:jc w:val="center"/>
              <w:rPr>
                <w:sz w:val="24"/>
                <w:szCs w:val="24"/>
                <w:lang w:val="lt-LT" w:eastAsia="zh-CN"/>
              </w:rPr>
            </w:pPr>
            <w:r w:rsidRPr="00247DE9">
              <w:rPr>
                <w:i/>
                <w:iCs/>
                <w:sz w:val="24"/>
                <w:szCs w:val="24"/>
                <w:lang w:val="lt-LT"/>
              </w:rPr>
              <w:t>-39</w:t>
            </w:r>
          </w:p>
        </w:tc>
      </w:tr>
      <w:tr w:rsidR="00185B15" w:rsidRPr="00247DE9" w14:paraId="1A0759CF"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681924C3" w14:textId="77777777" w:rsidR="00185B15" w:rsidRPr="00247DE9" w:rsidRDefault="00185B15">
            <w:pPr>
              <w:suppressAutoHyphens/>
              <w:rPr>
                <w:sz w:val="24"/>
                <w:szCs w:val="24"/>
                <w:lang w:val="lt-LT" w:eastAsia="zh-CN"/>
              </w:rPr>
            </w:pPr>
            <w:r w:rsidRPr="00247DE9">
              <w:rPr>
                <w:sz w:val="24"/>
                <w:szCs w:val="24"/>
                <w:lang w:val="lt-LT"/>
              </w:rPr>
              <w:t>1.3.1.</w:t>
            </w:r>
          </w:p>
        </w:tc>
        <w:tc>
          <w:tcPr>
            <w:tcW w:w="2778" w:type="dxa"/>
            <w:tcBorders>
              <w:top w:val="nil"/>
              <w:left w:val="single" w:sz="4" w:space="0" w:color="000000"/>
              <w:bottom w:val="single" w:sz="4" w:space="0" w:color="000000"/>
              <w:right w:val="nil"/>
            </w:tcBorders>
            <w:vAlign w:val="bottom"/>
            <w:hideMark/>
          </w:tcPr>
          <w:p w14:paraId="27A43E22" w14:textId="77777777" w:rsidR="00185B15" w:rsidRPr="00247DE9" w:rsidRDefault="00185B15">
            <w:pPr>
              <w:suppressAutoHyphens/>
              <w:rPr>
                <w:sz w:val="24"/>
                <w:szCs w:val="24"/>
                <w:lang w:val="lt-LT" w:eastAsia="zh-CN"/>
              </w:rPr>
            </w:pPr>
            <w:r w:rsidRPr="00247DE9">
              <w:rPr>
                <w:sz w:val="24"/>
                <w:szCs w:val="24"/>
                <w:lang w:val="lt-LT"/>
              </w:rPr>
              <w:t xml:space="preserve">  miestas</w:t>
            </w:r>
          </w:p>
        </w:tc>
        <w:tc>
          <w:tcPr>
            <w:tcW w:w="1393" w:type="dxa"/>
            <w:tcBorders>
              <w:top w:val="nil"/>
              <w:left w:val="single" w:sz="4" w:space="0" w:color="000000"/>
              <w:bottom w:val="single" w:sz="4" w:space="0" w:color="000000"/>
              <w:right w:val="nil"/>
            </w:tcBorders>
            <w:vAlign w:val="bottom"/>
            <w:hideMark/>
          </w:tcPr>
          <w:p w14:paraId="62F06A67" w14:textId="77777777" w:rsidR="00185B15" w:rsidRPr="00247DE9" w:rsidRDefault="00185B15">
            <w:pPr>
              <w:suppressAutoHyphens/>
              <w:jc w:val="center"/>
              <w:rPr>
                <w:sz w:val="24"/>
                <w:szCs w:val="24"/>
                <w:lang w:val="lt-LT" w:eastAsia="zh-CN"/>
              </w:rPr>
            </w:pPr>
            <w:r w:rsidRPr="00247DE9">
              <w:rPr>
                <w:sz w:val="24"/>
                <w:szCs w:val="24"/>
                <w:lang w:val="lt-LT"/>
              </w:rPr>
              <w:t>35.207</w:t>
            </w:r>
          </w:p>
        </w:tc>
        <w:tc>
          <w:tcPr>
            <w:tcW w:w="1390" w:type="dxa"/>
            <w:tcBorders>
              <w:top w:val="nil"/>
              <w:left w:val="single" w:sz="4" w:space="0" w:color="000000"/>
              <w:bottom w:val="single" w:sz="4" w:space="0" w:color="000000"/>
              <w:right w:val="nil"/>
            </w:tcBorders>
            <w:vAlign w:val="bottom"/>
            <w:hideMark/>
          </w:tcPr>
          <w:p w14:paraId="3C2ED945" w14:textId="77777777" w:rsidR="00185B15" w:rsidRPr="00247DE9" w:rsidRDefault="00185B15">
            <w:pPr>
              <w:suppressAutoHyphens/>
              <w:jc w:val="center"/>
              <w:rPr>
                <w:sz w:val="24"/>
                <w:szCs w:val="24"/>
                <w:lang w:val="lt-LT" w:eastAsia="zh-CN"/>
              </w:rPr>
            </w:pPr>
            <w:r w:rsidRPr="00247DE9">
              <w:rPr>
                <w:sz w:val="24"/>
                <w:szCs w:val="24"/>
                <w:lang w:val="lt-LT"/>
              </w:rPr>
              <w:t>24.196</w:t>
            </w:r>
          </w:p>
        </w:tc>
        <w:tc>
          <w:tcPr>
            <w:tcW w:w="1636" w:type="dxa"/>
            <w:tcBorders>
              <w:top w:val="nil"/>
              <w:left w:val="single" w:sz="4" w:space="0" w:color="000000"/>
              <w:bottom w:val="single" w:sz="4" w:space="0" w:color="000000"/>
              <w:right w:val="nil"/>
            </w:tcBorders>
            <w:vAlign w:val="bottom"/>
            <w:hideMark/>
          </w:tcPr>
          <w:p w14:paraId="6C51FC76" w14:textId="77777777" w:rsidR="00185B15" w:rsidRPr="00247DE9" w:rsidRDefault="00185B15">
            <w:pPr>
              <w:suppressAutoHyphens/>
              <w:jc w:val="center"/>
              <w:rPr>
                <w:sz w:val="24"/>
                <w:szCs w:val="24"/>
                <w:lang w:val="lt-LT" w:eastAsia="zh-CN"/>
              </w:rPr>
            </w:pPr>
            <w:r w:rsidRPr="00247DE9">
              <w:rPr>
                <w:b/>
                <w:bCs/>
                <w:sz w:val="24"/>
                <w:szCs w:val="24"/>
                <w:lang w:val="lt-LT"/>
              </w:rPr>
              <w:t>-11.011</w:t>
            </w:r>
          </w:p>
        </w:tc>
        <w:tc>
          <w:tcPr>
            <w:tcW w:w="1741" w:type="dxa"/>
            <w:tcBorders>
              <w:top w:val="nil"/>
              <w:left w:val="single" w:sz="4" w:space="0" w:color="000000"/>
              <w:bottom w:val="single" w:sz="4" w:space="0" w:color="000000"/>
              <w:right w:val="single" w:sz="4" w:space="0" w:color="000000"/>
            </w:tcBorders>
            <w:vAlign w:val="bottom"/>
            <w:hideMark/>
          </w:tcPr>
          <w:p w14:paraId="204F3740" w14:textId="77777777" w:rsidR="00185B15" w:rsidRPr="00247DE9" w:rsidRDefault="00185B15">
            <w:pPr>
              <w:suppressAutoHyphens/>
              <w:jc w:val="center"/>
              <w:rPr>
                <w:sz w:val="24"/>
                <w:szCs w:val="24"/>
                <w:lang w:val="lt-LT" w:eastAsia="zh-CN"/>
              </w:rPr>
            </w:pPr>
            <w:r w:rsidRPr="00247DE9">
              <w:rPr>
                <w:sz w:val="24"/>
                <w:szCs w:val="24"/>
                <w:lang w:val="lt-LT"/>
              </w:rPr>
              <w:t>-31</w:t>
            </w:r>
          </w:p>
        </w:tc>
      </w:tr>
      <w:tr w:rsidR="00185B15" w:rsidRPr="00247DE9" w14:paraId="7676530D"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270D1F96" w14:textId="77777777" w:rsidR="00185B15" w:rsidRPr="00247DE9" w:rsidRDefault="00185B15">
            <w:pPr>
              <w:suppressAutoHyphens/>
              <w:rPr>
                <w:sz w:val="24"/>
                <w:szCs w:val="24"/>
                <w:lang w:val="lt-LT" w:eastAsia="zh-CN"/>
              </w:rPr>
            </w:pPr>
            <w:r w:rsidRPr="00247DE9">
              <w:rPr>
                <w:sz w:val="24"/>
                <w:szCs w:val="24"/>
                <w:lang w:val="lt-LT"/>
              </w:rPr>
              <w:t>1.3.2.</w:t>
            </w:r>
          </w:p>
        </w:tc>
        <w:tc>
          <w:tcPr>
            <w:tcW w:w="2778" w:type="dxa"/>
            <w:tcBorders>
              <w:top w:val="nil"/>
              <w:left w:val="single" w:sz="4" w:space="0" w:color="000000"/>
              <w:bottom w:val="single" w:sz="4" w:space="0" w:color="000000"/>
              <w:right w:val="nil"/>
            </w:tcBorders>
            <w:vAlign w:val="bottom"/>
            <w:hideMark/>
          </w:tcPr>
          <w:p w14:paraId="3D81789C" w14:textId="77777777" w:rsidR="00185B15" w:rsidRPr="00247DE9" w:rsidRDefault="00185B15">
            <w:pPr>
              <w:suppressAutoHyphens/>
              <w:rPr>
                <w:sz w:val="24"/>
                <w:szCs w:val="24"/>
                <w:lang w:val="lt-LT" w:eastAsia="zh-CN"/>
              </w:rPr>
            </w:pPr>
            <w:r w:rsidRPr="00247DE9">
              <w:rPr>
                <w:sz w:val="24"/>
                <w:szCs w:val="24"/>
                <w:lang w:val="lt-LT"/>
              </w:rPr>
              <w:t xml:space="preserve">  priemiestis</w:t>
            </w:r>
          </w:p>
        </w:tc>
        <w:tc>
          <w:tcPr>
            <w:tcW w:w="1393" w:type="dxa"/>
            <w:tcBorders>
              <w:top w:val="nil"/>
              <w:left w:val="single" w:sz="4" w:space="0" w:color="000000"/>
              <w:bottom w:val="single" w:sz="4" w:space="0" w:color="000000"/>
              <w:right w:val="nil"/>
            </w:tcBorders>
            <w:vAlign w:val="bottom"/>
            <w:hideMark/>
          </w:tcPr>
          <w:p w14:paraId="2AFCDE93" w14:textId="77777777" w:rsidR="00185B15" w:rsidRPr="00247DE9" w:rsidRDefault="00185B15">
            <w:pPr>
              <w:suppressAutoHyphens/>
              <w:jc w:val="center"/>
              <w:rPr>
                <w:sz w:val="24"/>
                <w:szCs w:val="24"/>
                <w:lang w:val="lt-LT" w:eastAsia="zh-CN"/>
              </w:rPr>
            </w:pPr>
            <w:r w:rsidRPr="00247DE9">
              <w:rPr>
                <w:sz w:val="24"/>
                <w:szCs w:val="24"/>
                <w:lang w:val="lt-LT"/>
              </w:rPr>
              <w:t>276.200</w:t>
            </w:r>
          </w:p>
        </w:tc>
        <w:tc>
          <w:tcPr>
            <w:tcW w:w="1390" w:type="dxa"/>
            <w:tcBorders>
              <w:top w:val="nil"/>
              <w:left w:val="single" w:sz="4" w:space="0" w:color="000000"/>
              <w:bottom w:val="single" w:sz="4" w:space="0" w:color="000000"/>
              <w:right w:val="nil"/>
            </w:tcBorders>
            <w:vAlign w:val="bottom"/>
            <w:hideMark/>
          </w:tcPr>
          <w:p w14:paraId="41F38871" w14:textId="77777777" w:rsidR="00185B15" w:rsidRPr="00247DE9" w:rsidRDefault="00185B15">
            <w:pPr>
              <w:suppressAutoHyphens/>
              <w:jc w:val="center"/>
              <w:rPr>
                <w:sz w:val="24"/>
                <w:szCs w:val="24"/>
                <w:lang w:val="lt-LT" w:eastAsia="zh-CN"/>
              </w:rPr>
            </w:pPr>
            <w:r w:rsidRPr="00247DE9">
              <w:rPr>
                <w:sz w:val="24"/>
                <w:szCs w:val="24"/>
                <w:lang w:val="lt-LT"/>
              </w:rPr>
              <w:t>169.047</w:t>
            </w:r>
          </w:p>
        </w:tc>
        <w:tc>
          <w:tcPr>
            <w:tcW w:w="1636" w:type="dxa"/>
            <w:tcBorders>
              <w:top w:val="nil"/>
              <w:left w:val="single" w:sz="4" w:space="0" w:color="000000"/>
              <w:bottom w:val="single" w:sz="4" w:space="0" w:color="000000"/>
              <w:right w:val="nil"/>
            </w:tcBorders>
            <w:vAlign w:val="bottom"/>
            <w:hideMark/>
          </w:tcPr>
          <w:p w14:paraId="36C62520" w14:textId="77777777" w:rsidR="00185B15" w:rsidRPr="00247DE9" w:rsidRDefault="00185B15">
            <w:pPr>
              <w:suppressAutoHyphens/>
              <w:jc w:val="center"/>
              <w:rPr>
                <w:sz w:val="24"/>
                <w:szCs w:val="24"/>
                <w:lang w:val="lt-LT" w:eastAsia="zh-CN"/>
              </w:rPr>
            </w:pPr>
            <w:r w:rsidRPr="00247DE9">
              <w:rPr>
                <w:b/>
                <w:bCs/>
                <w:sz w:val="24"/>
                <w:szCs w:val="24"/>
                <w:lang w:val="lt-LT"/>
              </w:rPr>
              <w:t>-107.153</w:t>
            </w:r>
          </w:p>
        </w:tc>
        <w:tc>
          <w:tcPr>
            <w:tcW w:w="1741" w:type="dxa"/>
            <w:tcBorders>
              <w:top w:val="nil"/>
              <w:left w:val="single" w:sz="4" w:space="0" w:color="000000"/>
              <w:bottom w:val="single" w:sz="4" w:space="0" w:color="000000"/>
              <w:right w:val="single" w:sz="4" w:space="0" w:color="000000"/>
            </w:tcBorders>
            <w:vAlign w:val="bottom"/>
            <w:hideMark/>
          </w:tcPr>
          <w:p w14:paraId="6A8B20CD" w14:textId="77777777" w:rsidR="00185B15" w:rsidRPr="00247DE9" w:rsidRDefault="00185B15">
            <w:pPr>
              <w:suppressAutoHyphens/>
              <w:jc w:val="center"/>
              <w:rPr>
                <w:sz w:val="24"/>
                <w:szCs w:val="24"/>
                <w:lang w:val="lt-LT" w:eastAsia="zh-CN"/>
              </w:rPr>
            </w:pPr>
            <w:r w:rsidRPr="00247DE9">
              <w:rPr>
                <w:sz w:val="24"/>
                <w:szCs w:val="24"/>
                <w:lang w:val="lt-LT"/>
              </w:rPr>
              <w:t>-39</w:t>
            </w:r>
          </w:p>
        </w:tc>
      </w:tr>
      <w:tr w:rsidR="00185B15" w:rsidRPr="00247DE9" w14:paraId="73EA10C0"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345D2038" w14:textId="77777777" w:rsidR="00185B15" w:rsidRPr="00247DE9" w:rsidRDefault="00185B15">
            <w:pPr>
              <w:suppressAutoHyphens/>
              <w:rPr>
                <w:sz w:val="24"/>
                <w:szCs w:val="24"/>
                <w:lang w:val="lt-LT" w:eastAsia="zh-CN"/>
              </w:rPr>
            </w:pPr>
            <w:r w:rsidRPr="00247DE9">
              <w:rPr>
                <w:sz w:val="24"/>
                <w:szCs w:val="24"/>
                <w:lang w:val="lt-LT"/>
              </w:rPr>
              <w:t>1.3.3.</w:t>
            </w:r>
          </w:p>
        </w:tc>
        <w:tc>
          <w:tcPr>
            <w:tcW w:w="2778" w:type="dxa"/>
            <w:tcBorders>
              <w:top w:val="nil"/>
              <w:left w:val="single" w:sz="4" w:space="0" w:color="000000"/>
              <w:bottom w:val="single" w:sz="4" w:space="0" w:color="000000"/>
              <w:right w:val="nil"/>
            </w:tcBorders>
            <w:vAlign w:val="bottom"/>
            <w:hideMark/>
          </w:tcPr>
          <w:p w14:paraId="73A9DFFA" w14:textId="77777777" w:rsidR="00185B15" w:rsidRPr="00247DE9" w:rsidRDefault="00185B15">
            <w:pPr>
              <w:suppressAutoHyphens/>
              <w:rPr>
                <w:sz w:val="24"/>
                <w:szCs w:val="24"/>
                <w:lang w:val="lt-LT" w:eastAsia="zh-CN"/>
              </w:rPr>
            </w:pPr>
            <w:r w:rsidRPr="00247DE9">
              <w:rPr>
                <w:sz w:val="24"/>
                <w:szCs w:val="24"/>
                <w:lang w:val="lt-LT"/>
              </w:rPr>
              <w:t xml:space="preserve">  </w:t>
            </w:r>
            <w:proofErr w:type="spellStart"/>
            <w:r w:rsidRPr="00247DE9">
              <w:rPr>
                <w:sz w:val="24"/>
                <w:szCs w:val="24"/>
                <w:lang w:val="lt-LT"/>
              </w:rPr>
              <w:t>tarpmiestis</w:t>
            </w:r>
            <w:proofErr w:type="spellEnd"/>
          </w:p>
        </w:tc>
        <w:tc>
          <w:tcPr>
            <w:tcW w:w="1393" w:type="dxa"/>
            <w:tcBorders>
              <w:top w:val="nil"/>
              <w:left w:val="single" w:sz="4" w:space="0" w:color="000000"/>
              <w:bottom w:val="single" w:sz="4" w:space="0" w:color="000000"/>
              <w:right w:val="nil"/>
            </w:tcBorders>
            <w:vAlign w:val="bottom"/>
            <w:hideMark/>
          </w:tcPr>
          <w:p w14:paraId="57027FA4" w14:textId="77777777" w:rsidR="00185B15" w:rsidRPr="00247DE9" w:rsidRDefault="00185B15">
            <w:pPr>
              <w:suppressAutoHyphens/>
              <w:jc w:val="center"/>
              <w:rPr>
                <w:sz w:val="24"/>
                <w:szCs w:val="24"/>
                <w:lang w:val="lt-LT" w:eastAsia="zh-CN"/>
              </w:rPr>
            </w:pPr>
            <w:r w:rsidRPr="00247DE9">
              <w:rPr>
                <w:sz w:val="24"/>
                <w:szCs w:val="24"/>
                <w:lang w:val="lt-LT"/>
              </w:rPr>
              <w:t>7.522</w:t>
            </w:r>
          </w:p>
        </w:tc>
        <w:tc>
          <w:tcPr>
            <w:tcW w:w="1390" w:type="dxa"/>
            <w:tcBorders>
              <w:top w:val="nil"/>
              <w:left w:val="single" w:sz="4" w:space="0" w:color="000000"/>
              <w:bottom w:val="single" w:sz="4" w:space="0" w:color="000000"/>
              <w:right w:val="nil"/>
            </w:tcBorders>
            <w:vAlign w:val="bottom"/>
            <w:hideMark/>
          </w:tcPr>
          <w:p w14:paraId="15E7A04E" w14:textId="77777777" w:rsidR="00185B15" w:rsidRPr="00247DE9" w:rsidRDefault="00185B15">
            <w:pPr>
              <w:suppressAutoHyphens/>
              <w:jc w:val="center"/>
              <w:rPr>
                <w:sz w:val="24"/>
                <w:szCs w:val="24"/>
                <w:lang w:val="lt-LT" w:eastAsia="zh-CN"/>
              </w:rPr>
            </w:pPr>
            <w:r w:rsidRPr="00247DE9">
              <w:rPr>
                <w:sz w:val="24"/>
                <w:szCs w:val="24"/>
                <w:lang w:val="lt-LT"/>
              </w:rPr>
              <w:t>2.302</w:t>
            </w:r>
          </w:p>
        </w:tc>
        <w:tc>
          <w:tcPr>
            <w:tcW w:w="1636" w:type="dxa"/>
            <w:tcBorders>
              <w:top w:val="nil"/>
              <w:left w:val="single" w:sz="4" w:space="0" w:color="000000"/>
              <w:bottom w:val="single" w:sz="4" w:space="0" w:color="000000"/>
              <w:right w:val="nil"/>
            </w:tcBorders>
            <w:vAlign w:val="bottom"/>
            <w:hideMark/>
          </w:tcPr>
          <w:p w14:paraId="71FD8F20" w14:textId="77777777" w:rsidR="00185B15" w:rsidRPr="00247DE9" w:rsidRDefault="00185B15">
            <w:pPr>
              <w:suppressAutoHyphens/>
              <w:jc w:val="center"/>
              <w:rPr>
                <w:sz w:val="24"/>
                <w:szCs w:val="24"/>
                <w:lang w:val="lt-LT" w:eastAsia="zh-CN"/>
              </w:rPr>
            </w:pPr>
            <w:r w:rsidRPr="00247DE9">
              <w:rPr>
                <w:b/>
                <w:bCs/>
                <w:sz w:val="24"/>
                <w:szCs w:val="24"/>
                <w:lang w:val="lt-LT"/>
              </w:rPr>
              <w:t>-5.220</w:t>
            </w:r>
          </w:p>
        </w:tc>
        <w:tc>
          <w:tcPr>
            <w:tcW w:w="1741" w:type="dxa"/>
            <w:tcBorders>
              <w:top w:val="nil"/>
              <w:left w:val="single" w:sz="4" w:space="0" w:color="000000"/>
              <w:bottom w:val="single" w:sz="4" w:space="0" w:color="000000"/>
              <w:right w:val="single" w:sz="4" w:space="0" w:color="000000"/>
            </w:tcBorders>
            <w:vAlign w:val="bottom"/>
            <w:hideMark/>
          </w:tcPr>
          <w:p w14:paraId="2768A0B5" w14:textId="77777777" w:rsidR="00185B15" w:rsidRPr="00247DE9" w:rsidRDefault="00185B15">
            <w:pPr>
              <w:suppressAutoHyphens/>
              <w:jc w:val="center"/>
              <w:rPr>
                <w:sz w:val="24"/>
                <w:szCs w:val="24"/>
                <w:lang w:val="lt-LT" w:eastAsia="zh-CN"/>
              </w:rPr>
            </w:pPr>
            <w:r w:rsidRPr="00247DE9">
              <w:rPr>
                <w:sz w:val="24"/>
                <w:szCs w:val="24"/>
                <w:lang w:val="lt-LT"/>
              </w:rPr>
              <w:t>-69</w:t>
            </w:r>
          </w:p>
        </w:tc>
      </w:tr>
      <w:tr w:rsidR="00185B15" w:rsidRPr="00247DE9" w14:paraId="2B715152"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75917D26" w14:textId="77777777" w:rsidR="00185B15" w:rsidRPr="00247DE9" w:rsidRDefault="00185B15">
            <w:pPr>
              <w:suppressAutoHyphens/>
              <w:rPr>
                <w:sz w:val="24"/>
                <w:szCs w:val="24"/>
                <w:lang w:val="lt-LT" w:eastAsia="zh-CN"/>
              </w:rPr>
            </w:pPr>
            <w:r w:rsidRPr="00247DE9">
              <w:rPr>
                <w:b/>
                <w:bCs/>
                <w:sz w:val="24"/>
                <w:szCs w:val="24"/>
                <w:lang w:val="lt-LT"/>
              </w:rPr>
              <w:t>2.</w:t>
            </w:r>
          </w:p>
        </w:tc>
        <w:tc>
          <w:tcPr>
            <w:tcW w:w="2778" w:type="dxa"/>
            <w:tcBorders>
              <w:top w:val="nil"/>
              <w:left w:val="single" w:sz="4" w:space="0" w:color="000000"/>
              <w:bottom w:val="single" w:sz="4" w:space="0" w:color="000000"/>
              <w:right w:val="nil"/>
            </w:tcBorders>
            <w:vAlign w:val="bottom"/>
            <w:hideMark/>
          </w:tcPr>
          <w:p w14:paraId="697B0E1E" w14:textId="77777777" w:rsidR="00185B15" w:rsidRPr="00247DE9" w:rsidRDefault="00185B15">
            <w:pPr>
              <w:suppressAutoHyphens/>
              <w:rPr>
                <w:sz w:val="24"/>
                <w:szCs w:val="24"/>
                <w:lang w:val="lt-LT" w:eastAsia="zh-CN"/>
              </w:rPr>
            </w:pPr>
            <w:r w:rsidRPr="00247DE9">
              <w:rPr>
                <w:b/>
                <w:bCs/>
                <w:sz w:val="24"/>
                <w:szCs w:val="24"/>
                <w:lang w:val="lt-LT"/>
              </w:rPr>
              <w:t>Užsakomieji reisai</w:t>
            </w:r>
          </w:p>
        </w:tc>
        <w:tc>
          <w:tcPr>
            <w:tcW w:w="1393" w:type="dxa"/>
            <w:tcBorders>
              <w:top w:val="nil"/>
              <w:left w:val="single" w:sz="4" w:space="0" w:color="000000"/>
              <w:bottom w:val="single" w:sz="4" w:space="0" w:color="000000"/>
              <w:right w:val="nil"/>
            </w:tcBorders>
            <w:vAlign w:val="bottom"/>
            <w:hideMark/>
          </w:tcPr>
          <w:p w14:paraId="30D983B8" w14:textId="77777777" w:rsidR="00185B15" w:rsidRPr="00247DE9" w:rsidRDefault="00185B15">
            <w:pPr>
              <w:suppressAutoHyphens/>
              <w:jc w:val="center"/>
              <w:rPr>
                <w:sz w:val="24"/>
                <w:szCs w:val="24"/>
                <w:lang w:val="lt-LT" w:eastAsia="zh-CN"/>
              </w:rPr>
            </w:pPr>
            <w:r w:rsidRPr="00247DE9">
              <w:rPr>
                <w:b/>
                <w:bCs/>
                <w:sz w:val="24"/>
                <w:szCs w:val="24"/>
                <w:lang w:val="lt-LT"/>
              </w:rPr>
              <w:t>23.310</w:t>
            </w:r>
          </w:p>
        </w:tc>
        <w:tc>
          <w:tcPr>
            <w:tcW w:w="1390" w:type="dxa"/>
            <w:tcBorders>
              <w:top w:val="nil"/>
              <w:left w:val="single" w:sz="4" w:space="0" w:color="000000"/>
              <w:bottom w:val="single" w:sz="4" w:space="0" w:color="000000"/>
              <w:right w:val="nil"/>
            </w:tcBorders>
            <w:vAlign w:val="bottom"/>
            <w:hideMark/>
          </w:tcPr>
          <w:p w14:paraId="239EF61F" w14:textId="77777777" w:rsidR="00185B15" w:rsidRPr="00247DE9" w:rsidRDefault="00185B15">
            <w:pPr>
              <w:suppressAutoHyphens/>
              <w:jc w:val="center"/>
              <w:rPr>
                <w:sz w:val="24"/>
                <w:szCs w:val="24"/>
                <w:lang w:val="lt-LT" w:eastAsia="zh-CN"/>
              </w:rPr>
            </w:pPr>
            <w:r w:rsidRPr="00247DE9">
              <w:rPr>
                <w:b/>
                <w:bCs/>
                <w:sz w:val="24"/>
                <w:szCs w:val="24"/>
                <w:lang w:val="lt-LT"/>
              </w:rPr>
              <w:t>8.286</w:t>
            </w:r>
          </w:p>
        </w:tc>
        <w:tc>
          <w:tcPr>
            <w:tcW w:w="1636" w:type="dxa"/>
            <w:tcBorders>
              <w:top w:val="nil"/>
              <w:left w:val="single" w:sz="4" w:space="0" w:color="000000"/>
              <w:bottom w:val="single" w:sz="4" w:space="0" w:color="000000"/>
              <w:right w:val="nil"/>
            </w:tcBorders>
            <w:vAlign w:val="bottom"/>
            <w:hideMark/>
          </w:tcPr>
          <w:p w14:paraId="2454D9A8" w14:textId="77777777" w:rsidR="00185B15" w:rsidRPr="00247DE9" w:rsidRDefault="00185B15">
            <w:pPr>
              <w:suppressAutoHyphens/>
              <w:jc w:val="center"/>
              <w:rPr>
                <w:sz w:val="24"/>
                <w:szCs w:val="24"/>
                <w:lang w:val="lt-LT" w:eastAsia="zh-CN"/>
              </w:rPr>
            </w:pPr>
            <w:r w:rsidRPr="00247DE9">
              <w:rPr>
                <w:b/>
                <w:bCs/>
                <w:sz w:val="24"/>
                <w:szCs w:val="24"/>
                <w:lang w:val="lt-LT"/>
              </w:rPr>
              <w:t>-15.024</w:t>
            </w:r>
          </w:p>
        </w:tc>
        <w:tc>
          <w:tcPr>
            <w:tcW w:w="1741" w:type="dxa"/>
            <w:tcBorders>
              <w:top w:val="nil"/>
              <w:left w:val="single" w:sz="4" w:space="0" w:color="000000"/>
              <w:bottom w:val="single" w:sz="4" w:space="0" w:color="000000"/>
              <w:right w:val="single" w:sz="4" w:space="0" w:color="000000"/>
            </w:tcBorders>
            <w:vAlign w:val="bottom"/>
            <w:hideMark/>
          </w:tcPr>
          <w:p w14:paraId="662EC610" w14:textId="77777777" w:rsidR="00185B15" w:rsidRPr="00247DE9" w:rsidRDefault="00185B15">
            <w:pPr>
              <w:suppressAutoHyphens/>
              <w:jc w:val="center"/>
              <w:rPr>
                <w:sz w:val="24"/>
                <w:szCs w:val="24"/>
                <w:lang w:val="lt-LT" w:eastAsia="zh-CN"/>
              </w:rPr>
            </w:pPr>
            <w:r w:rsidRPr="00247DE9">
              <w:rPr>
                <w:sz w:val="24"/>
                <w:szCs w:val="24"/>
                <w:lang w:val="lt-LT"/>
              </w:rPr>
              <w:t>-64</w:t>
            </w:r>
          </w:p>
        </w:tc>
      </w:tr>
      <w:tr w:rsidR="00185B15" w:rsidRPr="00247DE9" w14:paraId="7AF4FC80"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354973C8" w14:textId="77777777" w:rsidR="00185B15" w:rsidRPr="00247DE9" w:rsidRDefault="00185B15">
            <w:pPr>
              <w:suppressAutoHyphens/>
              <w:rPr>
                <w:sz w:val="24"/>
                <w:szCs w:val="24"/>
                <w:lang w:val="lt-LT" w:eastAsia="zh-CN"/>
              </w:rPr>
            </w:pPr>
            <w:r w:rsidRPr="00247DE9">
              <w:rPr>
                <w:b/>
                <w:bCs/>
                <w:sz w:val="24"/>
                <w:szCs w:val="24"/>
                <w:lang w:val="lt-LT"/>
              </w:rPr>
              <w:t>3.</w:t>
            </w:r>
          </w:p>
        </w:tc>
        <w:tc>
          <w:tcPr>
            <w:tcW w:w="2778" w:type="dxa"/>
            <w:tcBorders>
              <w:top w:val="nil"/>
              <w:left w:val="single" w:sz="4" w:space="0" w:color="000000"/>
              <w:bottom w:val="single" w:sz="4" w:space="0" w:color="000000"/>
              <w:right w:val="nil"/>
            </w:tcBorders>
            <w:vAlign w:val="bottom"/>
            <w:hideMark/>
          </w:tcPr>
          <w:p w14:paraId="5DEB93F3" w14:textId="77777777" w:rsidR="00185B15" w:rsidRPr="00247DE9" w:rsidRDefault="00185B15">
            <w:pPr>
              <w:suppressAutoHyphens/>
              <w:rPr>
                <w:sz w:val="24"/>
                <w:szCs w:val="24"/>
                <w:lang w:val="lt-LT" w:eastAsia="zh-CN"/>
              </w:rPr>
            </w:pPr>
            <w:r w:rsidRPr="00247DE9">
              <w:rPr>
                <w:b/>
                <w:bCs/>
                <w:sz w:val="24"/>
                <w:szCs w:val="24"/>
                <w:lang w:val="lt-LT"/>
              </w:rPr>
              <w:t>Siuntos</w:t>
            </w:r>
          </w:p>
        </w:tc>
        <w:tc>
          <w:tcPr>
            <w:tcW w:w="1393" w:type="dxa"/>
            <w:tcBorders>
              <w:top w:val="nil"/>
              <w:left w:val="single" w:sz="4" w:space="0" w:color="000000"/>
              <w:bottom w:val="single" w:sz="4" w:space="0" w:color="000000"/>
              <w:right w:val="nil"/>
            </w:tcBorders>
            <w:vAlign w:val="bottom"/>
            <w:hideMark/>
          </w:tcPr>
          <w:p w14:paraId="3197B861" w14:textId="77777777" w:rsidR="00185B15" w:rsidRPr="00247DE9" w:rsidRDefault="00185B15">
            <w:pPr>
              <w:suppressAutoHyphens/>
              <w:jc w:val="center"/>
              <w:rPr>
                <w:sz w:val="24"/>
                <w:szCs w:val="24"/>
                <w:lang w:val="lt-LT" w:eastAsia="zh-CN"/>
              </w:rPr>
            </w:pPr>
            <w:r w:rsidRPr="00247DE9">
              <w:rPr>
                <w:b/>
                <w:bCs/>
                <w:sz w:val="24"/>
                <w:szCs w:val="24"/>
                <w:lang w:val="lt-LT"/>
              </w:rPr>
              <w:t>32.616</w:t>
            </w:r>
          </w:p>
        </w:tc>
        <w:tc>
          <w:tcPr>
            <w:tcW w:w="1390" w:type="dxa"/>
            <w:tcBorders>
              <w:top w:val="nil"/>
              <w:left w:val="single" w:sz="4" w:space="0" w:color="000000"/>
              <w:bottom w:val="single" w:sz="4" w:space="0" w:color="000000"/>
              <w:right w:val="nil"/>
            </w:tcBorders>
            <w:vAlign w:val="bottom"/>
            <w:hideMark/>
          </w:tcPr>
          <w:p w14:paraId="248938AE" w14:textId="77777777" w:rsidR="00185B15" w:rsidRPr="00247DE9" w:rsidRDefault="00185B15">
            <w:pPr>
              <w:suppressAutoHyphens/>
              <w:jc w:val="center"/>
              <w:rPr>
                <w:sz w:val="24"/>
                <w:szCs w:val="24"/>
                <w:lang w:val="lt-LT" w:eastAsia="zh-CN"/>
              </w:rPr>
            </w:pPr>
            <w:r w:rsidRPr="00247DE9">
              <w:rPr>
                <w:b/>
                <w:bCs/>
                <w:sz w:val="24"/>
                <w:szCs w:val="24"/>
                <w:lang w:val="lt-LT"/>
              </w:rPr>
              <w:t>25.269</w:t>
            </w:r>
          </w:p>
        </w:tc>
        <w:tc>
          <w:tcPr>
            <w:tcW w:w="1636" w:type="dxa"/>
            <w:tcBorders>
              <w:top w:val="nil"/>
              <w:left w:val="single" w:sz="4" w:space="0" w:color="000000"/>
              <w:bottom w:val="single" w:sz="4" w:space="0" w:color="000000"/>
              <w:right w:val="nil"/>
            </w:tcBorders>
            <w:vAlign w:val="bottom"/>
            <w:hideMark/>
          </w:tcPr>
          <w:p w14:paraId="3F504414" w14:textId="77777777" w:rsidR="00185B15" w:rsidRPr="00247DE9" w:rsidRDefault="00185B15">
            <w:pPr>
              <w:suppressAutoHyphens/>
              <w:jc w:val="center"/>
              <w:rPr>
                <w:sz w:val="24"/>
                <w:szCs w:val="24"/>
                <w:lang w:val="lt-LT" w:eastAsia="zh-CN"/>
              </w:rPr>
            </w:pPr>
            <w:r w:rsidRPr="00247DE9">
              <w:rPr>
                <w:b/>
                <w:bCs/>
                <w:sz w:val="24"/>
                <w:szCs w:val="24"/>
                <w:lang w:val="lt-LT"/>
              </w:rPr>
              <w:t>-7.347</w:t>
            </w:r>
          </w:p>
        </w:tc>
        <w:tc>
          <w:tcPr>
            <w:tcW w:w="1741" w:type="dxa"/>
            <w:tcBorders>
              <w:top w:val="nil"/>
              <w:left w:val="single" w:sz="4" w:space="0" w:color="000000"/>
              <w:bottom w:val="single" w:sz="4" w:space="0" w:color="000000"/>
              <w:right w:val="single" w:sz="4" w:space="0" w:color="000000"/>
            </w:tcBorders>
            <w:vAlign w:val="bottom"/>
            <w:hideMark/>
          </w:tcPr>
          <w:p w14:paraId="05507714" w14:textId="77777777" w:rsidR="00185B15" w:rsidRPr="00247DE9" w:rsidRDefault="00185B15">
            <w:pPr>
              <w:suppressAutoHyphens/>
              <w:jc w:val="center"/>
              <w:rPr>
                <w:sz w:val="24"/>
                <w:szCs w:val="24"/>
                <w:lang w:val="lt-LT" w:eastAsia="zh-CN"/>
              </w:rPr>
            </w:pPr>
            <w:r w:rsidRPr="00247DE9">
              <w:rPr>
                <w:sz w:val="24"/>
                <w:szCs w:val="24"/>
                <w:lang w:val="lt-LT"/>
              </w:rPr>
              <w:t>-23</w:t>
            </w:r>
          </w:p>
        </w:tc>
      </w:tr>
      <w:tr w:rsidR="00185B15" w:rsidRPr="00247DE9" w14:paraId="4C24EE83"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2387AA38" w14:textId="77777777" w:rsidR="00185B15" w:rsidRPr="00247DE9" w:rsidRDefault="00185B15">
            <w:pPr>
              <w:suppressAutoHyphens/>
              <w:rPr>
                <w:sz w:val="24"/>
                <w:szCs w:val="24"/>
                <w:lang w:val="lt-LT" w:eastAsia="zh-CN"/>
              </w:rPr>
            </w:pPr>
            <w:r w:rsidRPr="00247DE9">
              <w:rPr>
                <w:b/>
                <w:bCs/>
                <w:sz w:val="24"/>
                <w:szCs w:val="24"/>
                <w:lang w:val="lt-LT"/>
              </w:rPr>
              <w:t>4.</w:t>
            </w:r>
          </w:p>
        </w:tc>
        <w:tc>
          <w:tcPr>
            <w:tcW w:w="2778" w:type="dxa"/>
            <w:tcBorders>
              <w:top w:val="nil"/>
              <w:left w:val="single" w:sz="4" w:space="0" w:color="000000"/>
              <w:bottom w:val="single" w:sz="4" w:space="0" w:color="000000"/>
              <w:right w:val="nil"/>
            </w:tcBorders>
            <w:vAlign w:val="bottom"/>
            <w:hideMark/>
          </w:tcPr>
          <w:p w14:paraId="2699F997" w14:textId="77777777" w:rsidR="00185B15" w:rsidRPr="00247DE9" w:rsidRDefault="00185B15">
            <w:pPr>
              <w:suppressAutoHyphens/>
              <w:rPr>
                <w:sz w:val="24"/>
                <w:szCs w:val="24"/>
                <w:lang w:val="lt-LT" w:eastAsia="zh-CN"/>
              </w:rPr>
            </w:pPr>
            <w:r w:rsidRPr="00247DE9">
              <w:rPr>
                <w:b/>
                <w:bCs/>
                <w:sz w:val="24"/>
                <w:szCs w:val="24"/>
                <w:lang w:val="lt-LT"/>
              </w:rPr>
              <w:t>Kita veikla</w:t>
            </w:r>
          </w:p>
        </w:tc>
        <w:tc>
          <w:tcPr>
            <w:tcW w:w="1393" w:type="dxa"/>
            <w:tcBorders>
              <w:top w:val="nil"/>
              <w:left w:val="single" w:sz="4" w:space="0" w:color="000000"/>
              <w:bottom w:val="single" w:sz="4" w:space="0" w:color="000000"/>
              <w:right w:val="nil"/>
            </w:tcBorders>
            <w:vAlign w:val="bottom"/>
            <w:hideMark/>
          </w:tcPr>
          <w:p w14:paraId="7C08E820" w14:textId="77777777" w:rsidR="00185B15" w:rsidRPr="00247DE9" w:rsidRDefault="00185B15">
            <w:pPr>
              <w:suppressAutoHyphens/>
              <w:jc w:val="center"/>
              <w:rPr>
                <w:sz w:val="24"/>
                <w:szCs w:val="24"/>
                <w:lang w:val="lt-LT" w:eastAsia="zh-CN"/>
              </w:rPr>
            </w:pPr>
            <w:r w:rsidRPr="00247DE9">
              <w:rPr>
                <w:b/>
                <w:bCs/>
                <w:sz w:val="24"/>
                <w:szCs w:val="24"/>
                <w:lang w:val="lt-LT"/>
              </w:rPr>
              <w:t>30.597</w:t>
            </w:r>
          </w:p>
        </w:tc>
        <w:tc>
          <w:tcPr>
            <w:tcW w:w="1390" w:type="dxa"/>
            <w:tcBorders>
              <w:top w:val="nil"/>
              <w:left w:val="single" w:sz="4" w:space="0" w:color="000000"/>
              <w:bottom w:val="single" w:sz="4" w:space="0" w:color="000000"/>
              <w:right w:val="nil"/>
            </w:tcBorders>
            <w:vAlign w:val="bottom"/>
            <w:hideMark/>
          </w:tcPr>
          <w:p w14:paraId="7CBDFE65" w14:textId="77777777" w:rsidR="00185B15" w:rsidRPr="00247DE9" w:rsidRDefault="00185B15">
            <w:pPr>
              <w:suppressAutoHyphens/>
              <w:jc w:val="center"/>
              <w:rPr>
                <w:sz w:val="24"/>
                <w:szCs w:val="24"/>
                <w:lang w:val="lt-LT" w:eastAsia="zh-CN"/>
              </w:rPr>
            </w:pPr>
            <w:r w:rsidRPr="00247DE9">
              <w:rPr>
                <w:b/>
                <w:bCs/>
                <w:sz w:val="24"/>
                <w:szCs w:val="24"/>
                <w:lang w:val="lt-LT"/>
              </w:rPr>
              <w:t>20.694</w:t>
            </w:r>
          </w:p>
        </w:tc>
        <w:tc>
          <w:tcPr>
            <w:tcW w:w="1636" w:type="dxa"/>
            <w:tcBorders>
              <w:top w:val="nil"/>
              <w:left w:val="single" w:sz="4" w:space="0" w:color="000000"/>
              <w:bottom w:val="single" w:sz="4" w:space="0" w:color="000000"/>
              <w:right w:val="nil"/>
            </w:tcBorders>
            <w:vAlign w:val="bottom"/>
            <w:hideMark/>
          </w:tcPr>
          <w:p w14:paraId="1FD562C0" w14:textId="77777777" w:rsidR="00185B15" w:rsidRPr="00247DE9" w:rsidRDefault="00185B15">
            <w:pPr>
              <w:suppressAutoHyphens/>
              <w:jc w:val="center"/>
              <w:rPr>
                <w:sz w:val="24"/>
                <w:szCs w:val="24"/>
                <w:lang w:val="lt-LT" w:eastAsia="zh-CN"/>
              </w:rPr>
            </w:pPr>
            <w:r w:rsidRPr="00247DE9">
              <w:rPr>
                <w:b/>
                <w:bCs/>
                <w:sz w:val="24"/>
                <w:szCs w:val="24"/>
                <w:lang w:val="lt-LT"/>
              </w:rPr>
              <w:t>-9.903</w:t>
            </w:r>
          </w:p>
        </w:tc>
        <w:tc>
          <w:tcPr>
            <w:tcW w:w="1741" w:type="dxa"/>
            <w:tcBorders>
              <w:top w:val="nil"/>
              <w:left w:val="single" w:sz="4" w:space="0" w:color="000000"/>
              <w:bottom w:val="single" w:sz="4" w:space="0" w:color="000000"/>
              <w:right w:val="single" w:sz="4" w:space="0" w:color="000000"/>
            </w:tcBorders>
            <w:vAlign w:val="bottom"/>
            <w:hideMark/>
          </w:tcPr>
          <w:p w14:paraId="583A358B" w14:textId="77777777" w:rsidR="00185B15" w:rsidRPr="00247DE9" w:rsidRDefault="00185B15">
            <w:pPr>
              <w:suppressAutoHyphens/>
              <w:jc w:val="center"/>
              <w:rPr>
                <w:sz w:val="24"/>
                <w:szCs w:val="24"/>
                <w:lang w:val="lt-LT" w:eastAsia="zh-CN"/>
              </w:rPr>
            </w:pPr>
            <w:r w:rsidRPr="00247DE9">
              <w:rPr>
                <w:sz w:val="24"/>
                <w:szCs w:val="24"/>
                <w:lang w:val="lt-LT"/>
              </w:rPr>
              <w:t>-32</w:t>
            </w:r>
          </w:p>
        </w:tc>
      </w:tr>
      <w:tr w:rsidR="00185B15" w:rsidRPr="00247DE9" w14:paraId="3626EB4F" w14:textId="77777777" w:rsidTr="00185B15">
        <w:trPr>
          <w:trHeight w:val="360"/>
        </w:trPr>
        <w:tc>
          <w:tcPr>
            <w:tcW w:w="756" w:type="dxa"/>
            <w:tcBorders>
              <w:top w:val="nil"/>
              <w:left w:val="single" w:sz="4" w:space="0" w:color="000000"/>
              <w:bottom w:val="single" w:sz="4" w:space="0" w:color="000000"/>
              <w:right w:val="nil"/>
            </w:tcBorders>
            <w:vAlign w:val="bottom"/>
            <w:hideMark/>
          </w:tcPr>
          <w:p w14:paraId="3FDEE956" w14:textId="77777777" w:rsidR="00185B15" w:rsidRPr="00247DE9" w:rsidRDefault="00185B15">
            <w:pPr>
              <w:suppressAutoHyphens/>
              <w:rPr>
                <w:sz w:val="24"/>
                <w:szCs w:val="24"/>
                <w:lang w:val="lt-LT" w:eastAsia="zh-CN"/>
              </w:rPr>
            </w:pPr>
            <w:r w:rsidRPr="00247DE9">
              <w:rPr>
                <w:b/>
                <w:bCs/>
                <w:sz w:val="24"/>
                <w:szCs w:val="24"/>
                <w:lang w:val="lt-LT"/>
              </w:rPr>
              <w:t>5.</w:t>
            </w:r>
          </w:p>
        </w:tc>
        <w:tc>
          <w:tcPr>
            <w:tcW w:w="2778" w:type="dxa"/>
            <w:tcBorders>
              <w:top w:val="nil"/>
              <w:left w:val="single" w:sz="4" w:space="0" w:color="000000"/>
              <w:bottom w:val="single" w:sz="4" w:space="0" w:color="000000"/>
              <w:right w:val="nil"/>
            </w:tcBorders>
            <w:vAlign w:val="bottom"/>
            <w:hideMark/>
          </w:tcPr>
          <w:p w14:paraId="65AA6899" w14:textId="77777777" w:rsidR="00185B15" w:rsidRPr="00247DE9" w:rsidRDefault="00185B15">
            <w:pPr>
              <w:suppressAutoHyphens/>
              <w:rPr>
                <w:sz w:val="24"/>
                <w:szCs w:val="24"/>
                <w:lang w:val="lt-LT" w:eastAsia="zh-CN"/>
              </w:rPr>
            </w:pPr>
            <w:r w:rsidRPr="00247DE9">
              <w:rPr>
                <w:b/>
                <w:bCs/>
                <w:sz w:val="24"/>
                <w:szCs w:val="24"/>
                <w:lang w:val="lt-LT"/>
              </w:rPr>
              <w:t>Dotacija</w:t>
            </w:r>
          </w:p>
        </w:tc>
        <w:tc>
          <w:tcPr>
            <w:tcW w:w="1393" w:type="dxa"/>
            <w:tcBorders>
              <w:top w:val="nil"/>
              <w:left w:val="single" w:sz="4" w:space="0" w:color="000000"/>
              <w:bottom w:val="single" w:sz="4" w:space="0" w:color="000000"/>
              <w:right w:val="nil"/>
            </w:tcBorders>
            <w:vAlign w:val="bottom"/>
            <w:hideMark/>
          </w:tcPr>
          <w:p w14:paraId="557BA60C" w14:textId="77777777" w:rsidR="00185B15" w:rsidRPr="00247DE9" w:rsidRDefault="00185B15">
            <w:pPr>
              <w:suppressAutoHyphens/>
              <w:jc w:val="center"/>
              <w:rPr>
                <w:sz w:val="24"/>
                <w:szCs w:val="24"/>
                <w:lang w:val="lt-LT" w:eastAsia="zh-CN"/>
              </w:rPr>
            </w:pPr>
            <w:r w:rsidRPr="00247DE9">
              <w:rPr>
                <w:b/>
                <w:bCs/>
                <w:sz w:val="24"/>
                <w:szCs w:val="24"/>
                <w:lang w:val="lt-LT"/>
              </w:rPr>
              <w:t>104.800</w:t>
            </w:r>
          </w:p>
        </w:tc>
        <w:tc>
          <w:tcPr>
            <w:tcW w:w="1390" w:type="dxa"/>
            <w:tcBorders>
              <w:top w:val="nil"/>
              <w:left w:val="single" w:sz="4" w:space="0" w:color="000000"/>
              <w:bottom w:val="single" w:sz="4" w:space="0" w:color="000000"/>
              <w:right w:val="nil"/>
            </w:tcBorders>
            <w:vAlign w:val="bottom"/>
            <w:hideMark/>
          </w:tcPr>
          <w:p w14:paraId="039E0CDB" w14:textId="77777777" w:rsidR="00185B15" w:rsidRPr="00247DE9" w:rsidRDefault="00185B15">
            <w:pPr>
              <w:suppressAutoHyphens/>
              <w:jc w:val="center"/>
              <w:rPr>
                <w:sz w:val="24"/>
                <w:szCs w:val="24"/>
                <w:lang w:val="lt-LT" w:eastAsia="zh-CN"/>
              </w:rPr>
            </w:pPr>
            <w:r w:rsidRPr="00247DE9">
              <w:rPr>
                <w:b/>
                <w:bCs/>
                <w:sz w:val="24"/>
                <w:szCs w:val="24"/>
                <w:lang w:val="lt-LT"/>
              </w:rPr>
              <w:t>139.995</w:t>
            </w:r>
          </w:p>
        </w:tc>
        <w:tc>
          <w:tcPr>
            <w:tcW w:w="1636" w:type="dxa"/>
            <w:tcBorders>
              <w:top w:val="nil"/>
              <w:left w:val="single" w:sz="4" w:space="0" w:color="000000"/>
              <w:bottom w:val="single" w:sz="4" w:space="0" w:color="000000"/>
              <w:right w:val="nil"/>
            </w:tcBorders>
            <w:vAlign w:val="bottom"/>
            <w:hideMark/>
          </w:tcPr>
          <w:p w14:paraId="615FCFA6" w14:textId="77777777" w:rsidR="00185B15" w:rsidRPr="00247DE9" w:rsidRDefault="00185B15">
            <w:pPr>
              <w:suppressAutoHyphens/>
              <w:jc w:val="center"/>
              <w:rPr>
                <w:sz w:val="24"/>
                <w:szCs w:val="24"/>
                <w:lang w:val="lt-LT" w:eastAsia="zh-CN"/>
              </w:rPr>
            </w:pPr>
            <w:r w:rsidRPr="00247DE9">
              <w:rPr>
                <w:b/>
                <w:bCs/>
                <w:sz w:val="24"/>
                <w:szCs w:val="24"/>
                <w:lang w:val="lt-LT"/>
              </w:rPr>
              <w:t>35.195</w:t>
            </w:r>
          </w:p>
        </w:tc>
        <w:tc>
          <w:tcPr>
            <w:tcW w:w="1741" w:type="dxa"/>
            <w:tcBorders>
              <w:top w:val="nil"/>
              <w:left w:val="single" w:sz="4" w:space="0" w:color="000000"/>
              <w:bottom w:val="single" w:sz="4" w:space="0" w:color="000000"/>
              <w:right w:val="single" w:sz="4" w:space="0" w:color="000000"/>
            </w:tcBorders>
            <w:vAlign w:val="bottom"/>
            <w:hideMark/>
          </w:tcPr>
          <w:p w14:paraId="33AE05F2" w14:textId="77777777" w:rsidR="00185B15" w:rsidRPr="00247DE9" w:rsidRDefault="00185B15">
            <w:pPr>
              <w:suppressAutoHyphens/>
              <w:jc w:val="center"/>
              <w:rPr>
                <w:sz w:val="24"/>
                <w:szCs w:val="24"/>
                <w:lang w:val="lt-LT" w:eastAsia="zh-CN"/>
              </w:rPr>
            </w:pPr>
            <w:r w:rsidRPr="00247DE9">
              <w:rPr>
                <w:sz w:val="24"/>
                <w:szCs w:val="24"/>
                <w:lang w:val="lt-LT"/>
              </w:rPr>
              <w:t>34</w:t>
            </w:r>
          </w:p>
        </w:tc>
      </w:tr>
      <w:tr w:rsidR="00185B15" w:rsidRPr="00247DE9" w14:paraId="5027A1FD" w14:textId="77777777" w:rsidTr="00185B15">
        <w:trPr>
          <w:trHeight w:val="360"/>
        </w:trPr>
        <w:tc>
          <w:tcPr>
            <w:tcW w:w="3534" w:type="dxa"/>
            <w:gridSpan w:val="2"/>
            <w:tcBorders>
              <w:top w:val="single" w:sz="4" w:space="0" w:color="000000"/>
              <w:left w:val="single" w:sz="4" w:space="0" w:color="000000"/>
              <w:bottom w:val="single" w:sz="4" w:space="0" w:color="000000"/>
              <w:right w:val="nil"/>
            </w:tcBorders>
            <w:vAlign w:val="bottom"/>
            <w:hideMark/>
          </w:tcPr>
          <w:p w14:paraId="0E1DF9BD" w14:textId="77777777" w:rsidR="00185B15" w:rsidRPr="00247DE9" w:rsidRDefault="00185B15">
            <w:pPr>
              <w:suppressAutoHyphens/>
              <w:jc w:val="right"/>
              <w:rPr>
                <w:sz w:val="24"/>
                <w:szCs w:val="24"/>
                <w:lang w:val="lt-LT" w:eastAsia="zh-CN"/>
              </w:rPr>
            </w:pPr>
            <w:r w:rsidRPr="00247DE9">
              <w:rPr>
                <w:b/>
                <w:bCs/>
                <w:sz w:val="24"/>
                <w:szCs w:val="24"/>
                <w:lang w:val="lt-LT"/>
              </w:rPr>
              <w:t>Bendros pajamos, iš viso:</w:t>
            </w:r>
          </w:p>
        </w:tc>
        <w:tc>
          <w:tcPr>
            <w:tcW w:w="1393" w:type="dxa"/>
            <w:tcBorders>
              <w:top w:val="nil"/>
              <w:left w:val="single" w:sz="4" w:space="0" w:color="000000"/>
              <w:bottom w:val="single" w:sz="4" w:space="0" w:color="000000"/>
              <w:right w:val="nil"/>
            </w:tcBorders>
            <w:vAlign w:val="bottom"/>
            <w:hideMark/>
          </w:tcPr>
          <w:p w14:paraId="2F027871" w14:textId="77777777" w:rsidR="00185B15" w:rsidRPr="00247DE9" w:rsidRDefault="00185B15">
            <w:pPr>
              <w:suppressAutoHyphens/>
              <w:jc w:val="center"/>
              <w:rPr>
                <w:sz w:val="24"/>
                <w:szCs w:val="24"/>
                <w:lang w:val="lt-LT" w:eastAsia="zh-CN"/>
              </w:rPr>
            </w:pPr>
            <w:r w:rsidRPr="00247DE9">
              <w:rPr>
                <w:b/>
                <w:bCs/>
                <w:sz w:val="24"/>
                <w:szCs w:val="24"/>
                <w:lang w:val="lt-LT"/>
              </w:rPr>
              <w:t>1.727.303</w:t>
            </w:r>
          </w:p>
        </w:tc>
        <w:tc>
          <w:tcPr>
            <w:tcW w:w="1390" w:type="dxa"/>
            <w:tcBorders>
              <w:top w:val="nil"/>
              <w:left w:val="single" w:sz="4" w:space="0" w:color="000000"/>
              <w:bottom w:val="single" w:sz="4" w:space="0" w:color="000000"/>
              <w:right w:val="nil"/>
            </w:tcBorders>
            <w:vAlign w:val="bottom"/>
            <w:hideMark/>
          </w:tcPr>
          <w:p w14:paraId="0CD3440C" w14:textId="77777777" w:rsidR="00185B15" w:rsidRPr="00247DE9" w:rsidRDefault="00185B15">
            <w:pPr>
              <w:suppressAutoHyphens/>
              <w:jc w:val="center"/>
              <w:rPr>
                <w:sz w:val="24"/>
                <w:szCs w:val="24"/>
                <w:lang w:val="lt-LT" w:eastAsia="zh-CN"/>
              </w:rPr>
            </w:pPr>
            <w:r w:rsidRPr="00247DE9">
              <w:rPr>
                <w:b/>
                <w:bCs/>
                <w:sz w:val="24"/>
                <w:szCs w:val="24"/>
                <w:lang w:val="lt-LT"/>
              </w:rPr>
              <w:t>930.051</w:t>
            </w:r>
          </w:p>
        </w:tc>
        <w:tc>
          <w:tcPr>
            <w:tcW w:w="1636" w:type="dxa"/>
            <w:tcBorders>
              <w:top w:val="nil"/>
              <w:left w:val="single" w:sz="4" w:space="0" w:color="000000"/>
              <w:bottom w:val="single" w:sz="4" w:space="0" w:color="000000"/>
              <w:right w:val="nil"/>
            </w:tcBorders>
            <w:vAlign w:val="bottom"/>
            <w:hideMark/>
          </w:tcPr>
          <w:p w14:paraId="1FE62E4B" w14:textId="77777777" w:rsidR="00185B15" w:rsidRPr="00247DE9" w:rsidRDefault="00185B15">
            <w:pPr>
              <w:suppressAutoHyphens/>
              <w:jc w:val="center"/>
              <w:rPr>
                <w:sz w:val="24"/>
                <w:szCs w:val="24"/>
                <w:lang w:val="lt-LT" w:eastAsia="zh-CN"/>
              </w:rPr>
            </w:pPr>
            <w:r w:rsidRPr="00247DE9">
              <w:rPr>
                <w:b/>
                <w:bCs/>
                <w:sz w:val="24"/>
                <w:szCs w:val="24"/>
                <w:lang w:val="lt-LT"/>
              </w:rPr>
              <w:t>-797.252</w:t>
            </w:r>
          </w:p>
        </w:tc>
        <w:tc>
          <w:tcPr>
            <w:tcW w:w="1741" w:type="dxa"/>
            <w:tcBorders>
              <w:top w:val="nil"/>
              <w:left w:val="single" w:sz="4" w:space="0" w:color="000000"/>
              <w:bottom w:val="single" w:sz="4" w:space="0" w:color="000000"/>
              <w:right w:val="single" w:sz="4" w:space="0" w:color="000000"/>
            </w:tcBorders>
            <w:vAlign w:val="bottom"/>
            <w:hideMark/>
          </w:tcPr>
          <w:p w14:paraId="5C8AB3FC" w14:textId="77777777" w:rsidR="00185B15" w:rsidRPr="00247DE9" w:rsidRDefault="00185B15">
            <w:pPr>
              <w:suppressAutoHyphens/>
              <w:jc w:val="center"/>
              <w:rPr>
                <w:sz w:val="24"/>
                <w:szCs w:val="24"/>
                <w:lang w:val="lt-LT" w:eastAsia="zh-CN"/>
              </w:rPr>
            </w:pPr>
            <w:r w:rsidRPr="00247DE9">
              <w:rPr>
                <w:sz w:val="24"/>
                <w:szCs w:val="24"/>
                <w:lang w:val="lt-LT"/>
              </w:rPr>
              <w:t>-46</w:t>
            </w:r>
          </w:p>
        </w:tc>
      </w:tr>
    </w:tbl>
    <w:p w14:paraId="1B7E3FC7" w14:textId="77777777" w:rsidR="00185B15" w:rsidRPr="00247DE9" w:rsidRDefault="00185B15" w:rsidP="00185B15">
      <w:pPr>
        <w:ind w:firstLine="720"/>
        <w:jc w:val="both"/>
        <w:rPr>
          <w:sz w:val="24"/>
          <w:szCs w:val="24"/>
          <w:lang w:val="lt-LT" w:eastAsia="zh-CN"/>
        </w:rPr>
      </w:pPr>
    </w:p>
    <w:p w14:paraId="5561791A" w14:textId="4D3331DD" w:rsidR="00185B15" w:rsidRPr="00247DE9" w:rsidRDefault="00247DE9" w:rsidP="00185B15">
      <w:pPr>
        <w:jc w:val="both"/>
        <w:rPr>
          <w:sz w:val="24"/>
          <w:szCs w:val="24"/>
          <w:lang w:val="lt-LT"/>
        </w:rPr>
      </w:pPr>
      <w:r>
        <w:rPr>
          <w:noProof/>
          <w:sz w:val="24"/>
          <w:szCs w:val="24"/>
          <w:lang w:val="en-US" w:eastAsia="en-US"/>
        </w:rPr>
        <w:lastRenderedPageBreak/>
        <w:drawing>
          <wp:inline distT="0" distB="0" distL="0" distR="0" wp14:anchorId="1E6BC0FD" wp14:editId="3AD9B64B">
            <wp:extent cx="6115050" cy="2946400"/>
            <wp:effectExtent l="0" t="0" r="0" b="6350"/>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l="-31" t="-60" r="-31" b="-60"/>
                    <a:stretch>
                      <a:fillRect/>
                    </a:stretch>
                  </pic:blipFill>
                  <pic:spPr bwMode="auto">
                    <a:xfrm>
                      <a:off x="0" y="0"/>
                      <a:ext cx="6115050" cy="2946400"/>
                    </a:xfrm>
                    <a:prstGeom prst="rect">
                      <a:avLst/>
                    </a:prstGeom>
                    <a:solidFill>
                      <a:srgbClr val="FFFFFF"/>
                    </a:solidFill>
                    <a:ln>
                      <a:noFill/>
                    </a:ln>
                  </pic:spPr>
                </pic:pic>
              </a:graphicData>
            </a:graphic>
          </wp:inline>
        </w:drawing>
      </w:r>
    </w:p>
    <w:p w14:paraId="176FC30C" w14:textId="77777777" w:rsidR="00185B15" w:rsidRPr="00247DE9" w:rsidRDefault="00185B15" w:rsidP="00185B15">
      <w:pPr>
        <w:rPr>
          <w:sz w:val="24"/>
          <w:szCs w:val="24"/>
          <w:lang w:val="lt-LT"/>
        </w:rPr>
      </w:pPr>
    </w:p>
    <w:p w14:paraId="359A6CB7" w14:textId="4971B6BA" w:rsidR="00185B15" w:rsidRPr="00247DE9" w:rsidRDefault="00247DE9" w:rsidP="00185B15">
      <w:pPr>
        <w:jc w:val="center"/>
        <w:rPr>
          <w:sz w:val="24"/>
          <w:szCs w:val="24"/>
          <w:lang w:val="lt-LT"/>
        </w:rPr>
      </w:pPr>
      <w:r>
        <w:rPr>
          <w:noProof/>
          <w:sz w:val="24"/>
          <w:szCs w:val="24"/>
          <w:lang w:val="en-US" w:eastAsia="en-US"/>
        </w:rPr>
        <w:drawing>
          <wp:inline distT="0" distB="0" distL="0" distR="0" wp14:anchorId="26D77AE9" wp14:editId="089EA6CD">
            <wp:extent cx="4591050" cy="2755900"/>
            <wp:effectExtent l="0" t="0" r="0" b="6350"/>
            <wp:docPr id="33"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l="-41" t="-69" r="-41" b="-69"/>
                    <a:stretch>
                      <a:fillRect/>
                    </a:stretch>
                  </pic:blipFill>
                  <pic:spPr bwMode="auto">
                    <a:xfrm>
                      <a:off x="0" y="0"/>
                      <a:ext cx="4591050" cy="2755900"/>
                    </a:xfrm>
                    <a:prstGeom prst="rect">
                      <a:avLst/>
                    </a:prstGeom>
                    <a:solidFill>
                      <a:srgbClr val="FFFFFF"/>
                    </a:solidFill>
                    <a:ln>
                      <a:noFill/>
                    </a:ln>
                  </pic:spPr>
                </pic:pic>
              </a:graphicData>
            </a:graphic>
          </wp:inline>
        </w:drawing>
      </w:r>
    </w:p>
    <w:p w14:paraId="00497BA8" w14:textId="77777777" w:rsidR="00185B15" w:rsidRPr="00247DE9" w:rsidRDefault="00185B15" w:rsidP="00185B15">
      <w:pPr>
        <w:jc w:val="both"/>
        <w:rPr>
          <w:sz w:val="24"/>
          <w:szCs w:val="24"/>
          <w:lang w:val="lt-LT"/>
        </w:rPr>
      </w:pPr>
    </w:p>
    <w:p w14:paraId="1E1980F9" w14:textId="1F046901" w:rsidR="00185B15" w:rsidRPr="00706BB8" w:rsidRDefault="00185B15" w:rsidP="00185B15">
      <w:pPr>
        <w:ind w:firstLine="709"/>
        <w:jc w:val="both"/>
        <w:rPr>
          <w:sz w:val="24"/>
          <w:szCs w:val="24"/>
          <w:lang w:val="lt-LT"/>
        </w:rPr>
      </w:pPr>
      <w:r w:rsidRPr="00247DE9">
        <w:rPr>
          <w:sz w:val="24"/>
          <w:szCs w:val="24"/>
          <w:lang w:val="lt-LT"/>
        </w:rPr>
        <w:t xml:space="preserve">Vienintelis akcininkas </w:t>
      </w:r>
      <w:r w:rsidR="005C3A76" w:rsidRPr="00247DE9">
        <w:rPr>
          <w:sz w:val="24"/>
          <w:szCs w:val="24"/>
          <w:lang w:val="lt-LT"/>
        </w:rPr>
        <w:t>–</w:t>
      </w:r>
      <w:r w:rsidR="005C3A76">
        <w:rPr>
          <w:sz w:val="24"/>
          <w:szCs w:val="24"/>
          <w:lang w:val="lt-LT"/>
        </w:rPr>
        <w:t xml:space="preserve"> </w:t>
      </w:r>
      <w:r w:rsidRPr="00247DE9">
        <w:rPr>
          <w:sz w:val="24"/>
          <w:szCs w:val="24"/>
          <w:lang w:val="lt-LT"/>
        </w:rPr>
        <w:t xml:space="preserve">Rokiškio rajono savivaldybė </w:t>
      </w:r>
      <w:r w:rsidR="005C3A76" w:rsidRPr="00247DE9">
        <w:rPr>
          <w:sz w:val="24"/>
          <w:szCs w:val="24"/>
          <w:lang w:val="lt-LT"/>
        </w:rPr>
        <w:t>–</w:t>
      </w:r>
      <w:r w:rsidR="005C3A76">
        <w:rPr>
          <w:sz w:val="24"/>
          <w:szCs w:val="24"/>
          <w:lang w:val="lt-LT"/>
        </w:rPr>
        <w:t xml:space="preserve"> </w:t>
      </w:r>
      <w:r w:rsidRPr="00247DE9">
        <w:rPr>
          <w:sz w:val="24"/>
          <w:szCs w:val="24"/>
          <w:lang w:val="lt-LT"/>
        </w:rPr>
        <w:t>kompensuoja Bendrovei negautas pajamas už lengvatinį keleivių vežimą ir nemokamą mokinių vežimą, taip pat keleivinio transporto nuostolius, patirtus vykdant kelių transporto viešųjų paslaugų įsipareigojimus.</w:t>
      </w:r>
    </w:p>
    <w:p w14:paraId="537598FD" w14:textId="77777777" w:rsidR="00185B15" w:rsidRPr="00247DE9" w:rsidRDefault="00185B15" w:rsidP="00185B15">
      <w:pPr>
        <w:jc w:val="both"/>
        <w:rPr>
          <w:sz w:val="24"/>
          <w:szCs w:val="24"/>
          <w:lang w:val="lt-LT"/>
        </w:rPr>
      </w:pPr>
    </w:p>
    <w:p w14:paraId="617B038A" w14:textId="77777777" w:rsidR="00185B15" w:rsidRPr="00706BB8" w:rsidRDefault="00185B15" w:rsidP="00185B15">
      <w:pPr>
        <w:ind w:firstLine="720"/>
        <w:jc w:val="both"/>
        <w:rPr>
          <w:sz w:val="24"/>
          <w:szCs w:val="24"/>
          <w:lang w:val="lt-LT"/>
        </w:rPr>
      </w:pPr>
      <w:r w:rsidRPr="00247DE9">
        <w:rPr>
          <w:sz w:val="24"/>
          <w:szCs w:val="24"/>
          <w:lang w:val="lt-LT"/>
        </w:rPr>
        <w:t>Rokiškio rajono savivaldybės biudžeto lėšų panaudojimo palyginimas.</w:t>
      </w:r>
    </w:p>
    <w:p w14:paraId="4743B8F9" w14:textId="77777777" w:rsidR="00185B15" w:rsidRPr="00247DE9" w:rsidRDefault="00185B15" w:rsidP="00185B15">
      <w:pPr>
        <w:ind w:firstLine="720"/>
        <w:jc w:val="both"/>
        <w:rPr>
          <w:sz w:val="24"/>
          <w:szCs w:val="24"/>
          <w:lang w:val="lt-LT"/>
        </w:rPr>
      </w:pPr>
    </w:p>
    <w:tbl>
      <w:tblPr>
        <w:tblW w:w="0" w:type="auto"/>
        <w:tblInd w:w="73" w:type="dxa"/>
        <w:tblLayout w:type="fixed"/>
        <w:tblLook w:val="04A0" w:firstRow="1" w:lastRow="0" w:firstColumn="1" w:lastColumn="0" w:noHBand="0" w:noVBand="1"/>
      </w:tblPr>
      <w:tblGrid>
        <w:gridCol w:w="3500"/>
        <w:gridCol w:w="1477"/>
        <w:gridCol w:w="1275"/>
        <w:gridCol w:w="1678"/>
        <w:gridCol w:w="1764"/>
      </w:tblGrid>
      <w:tr w:rsidR="00185B15" w:rsidRPr="00247DE9" w14:paraId="6B155428" w14:textId="77777777" w:rsidTr="00185B15">
        <w:trPr>
          <w:trHeight w:val="945"/>
        </w:trPr>
        <w:tc>
          <w:tcPr>
            <w:tcW w:w="3500" w:type="dxa"/>
            <w:tcBorders>
              <w:top w:val="single" w:sz="4" w:space="0" w:color="000000"/>
              <w:left w:val="single" w:sz="4" w:space="0" w:color="000000"/>
              <w:bottom w:val="single" w:sz="4" w:space="0" w:color="000000"/>
              <w:right w:val="nil"/>
            </w:tcBorders>
            <w:vAlign w:val="center"/>
            <w:hideMark/>
          </w:tcPr>
          <w:p w14:paraId="0C1BFB42" w14:textId="77777777" w:rsidR="00185B15" w:rsidRPr="00247DE9" w:rsidRDefault="00185B15">
            <w:pPr>
              <w:suppressAutoHyphens/>
              <w:jc w:val="center"/>
              <w:rPr>
                <w:sz w:val="24"/>
                <w:szCs w:val="24"/>
                <w:lang w:val="en-US" w:eastAsia="zh-CN"/>
              </w:rPr>
            </w:pPr>
            <w:r w:rsidRPr="00247DE9">
              <w:rPr>
                <w:b/>
                <w:bCs/>
                <w:sz w:val="24"/>
                <w:szCs w:val="24"/>
                <w:lang w:val="lt-LT"/>
              </w:rPr>
              <w:t>Rodikliai</w:t>
            </w:r>
          </w:p>
        </w:tc>
        <w:tc>
          <w:tcPr>
            <w:tcW w:w="1477" w:type="dxa"/>
            <w:tcBorders>
              <w:top w:val="single" w:sz="4" w:space="0" w:color="000000"/>
              <w:left w:val="single" w:sz="4" w:space="0" w:color="000000"/>
              <w:bottom w:val="single" w:sz="4" w:space="0" w:color="000000"/>
              <w:right w:val="nil"/>
            </w:tcBorders>
            <w:vAlign w:val="center"/>
            <w:hideMark/>
          </w:tcPr>
          <w:p w14:paraId="2882BB71" w14:textId="77777777" w:rsidR="00185B15" w:rsidRPr="00247DE9" w:rsidRDefault="00185B15">
            <w:pPr>
              <w:suppressAutoHyphens/>
              <w:jc w:val="center"/>
              <w:rPr>
                <w:sz w:val="24"/>
                <w:szCs w:val="24"/>
                <w:lang w:val="en-US" w:eastAsia="zh-CN"/>
              </w:rPr>
            </w:pPr>
            <w:r w:rsidRPr="00247DE9">
              <w:rPr>
                <w:b/>
                <w:bCs/>
                <w:sz w:val="24"/>
                <w:szCs w:val="24"/>
              </w:rPr>
              <w:t>2019 m.</w:t>
            </w:r>
          </w:p>
        </w:tc>
        <w:tc>
          <w:tcPr>
            <w:tcW w:w="1275" w:type="dxa"/>
            <w:tcBorders>
              <w:top w:val="single" w:sz="4" w:space="0" w:color="000000"/>
              <w:left w:val="single" w:sz="4" w:space="0" w:color="000000"/>
              <w:bottom w:val="single" w:sz="4" w:space="0" w:color="000000"/>
              <w:right w:val="nil"/>
            </w:tcBorders>
            <w:vAlign w:val="center"/>
            <w:hideMark/>
          </w:tcPr>
          <w:p w14:paraId="3A5D94D3" w14:textId="77777777" w:rsidR="00185B15" w:rsidRPr="00247DE9" w:rsidRDefault="00185B15">
            <w:pPr>
              <w:suppressAutoHyphens/>
              <w:jc w:val="center"/>
              <w:rPr>
                <w:sz w:val="24"/>
                <w:szCs w:val="24"/>
                <w:lang w:val="en-US" w:eastAsia="zh-CN"/>
              </w:rPr>
            </w:pPr>
            <w:r w:rsidRPr="00247DE9">
              <w:rPr>
                <w:b/>
                <w:bCs/>
                <w:sz w:val="24"/>
                <w:szCs w:val="24"/>
              </w:rPr>
              <w:t>2020 m</w:t>
            </w:r>
          </w:p>
        </w:tc>
        <w:tc>
          <w:tcPr>
            <w:tcW w:w="1678" w:type="dxa"/>
            <w:tcBorders>
              <w:top w:val="single" w:sz="4" w:space="0" w:color="000000"/>
              <w:left w:val="single" w:sz="4" w:space="0" w:color="000000"/>
              <w:bottom w:val="single" w:sz="4" w:space="0" w:color="000000"/>
              <w:right w:val="nil"/>
            </w:tcBorders>
            <w:vAlign w:val="center"/>
            <w:hideMark/>
          </w:tcPr>
          <w:p w14:paraId="33233407" w14:textId="77777777" w:rsidR="00185B15" w:rsidRPr="00247DE9" w:rsidRDefault="00185B15">
            <w:pPr>
              <w:suppressAutoHyphens/>
              <w:jc w:val="center"/>
              <w:rPr>
                <w:sz w:val="24"/>
                <w:szCs w:val="24"/>
                <w:lang w:val="en-US" w:eastAsia="zh-CN"/>
              </w:rPr>
            </w:pPr>
            <w:r w:rsidRPr="00247DE9">
              <w:rPr>
                <w:b/>
                <w:bCs/>
                <w:sz w:val="24"/>
                <w:szCs w:val="24"/>
              </w:rPr>
              <w:t xml:space="preserve">2020/2019 m. </w:t>
            </w:r>
            <w:r w:rsidRPr="00247DE9">
              <w:rPr>
                <w:b/>
                <w:bCs/>
                <w:sz w:val="24"/>
                <w:szCs w:val="24"/>
                <w:lang w:val="lt-LT"/>
              </w:rPr>
              <w:t>kitimas (</w:t>
            </w:r>
            <w:r w:rsidRPr="00247DE9">
              <w:rPr>
                <w:b/>
                <w:bCs/>
                <w:sz w:val="24"/>
                <w:szCs w:val="24"/>
              </w:rPr>
              <w:t>+,-)</w:t>
            </w: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688FAE0F" w14:textId="77777777" w:rsidR="00185B15" w:rsidRPr="00247DE9" w:rsidRDefault="00185B15">
            <w:pPr>
              <w:suppressAutoHyphens/>
              <w:jc w:val="center"/>
              <w:rPr>
                <w:sz w:val="24"/>
                <w:szCs w:val="24"/>
                <w:lang w:val="en-US" w:eastAsia="zh-CN"/>
              </w:rPr>
            </w:pPr>
            <w:r w:rsidRPr="00247DE9">
              <w:rPr>
                <w:b/>
                <w:bCs/>
                <w:sz w:val="24"/>
                <w:szCs w:val="24"/>
              </w:rPr>
              <w:t xml:space="preserve">2020/2019 m. </w:t>
            </w:r>
            <w:r w:rsidRPr="00247DE9">
              <w:rPr>
                <w:b/>
                <w:bCs/>
                <w:sz w:val="24"/>
                <w:szCs w:val="24"/>
                <w:lang w:val="lt-LT"/>
              </w:rPr>
              <w:t xml:space="preserve">kitimas </w:t>
            </w:r>
            <w:r w:rsidRPr="00247DE9">
              <w:rPr>
                <w:b/>
                <w:bCs/>
                <w:sz w:val="24"/>
                <w:szCs w:val="24"/>
              </w:rPr>
              <w:t>(%)</w:t>
            </w:r>
          </w:p>
        </w:tc>
      </w:tr>
      <w:tr w:rsidR="00185B15" w:rsidRPr="00247DE9" w14:paraId="61AB87E1" w14:textId="77777777" w:rsidTr="00185B15">
        <w:trPr>
          <w:trHeight w:val="360"/>
        </w:trPr>
        <w:tc>
          <w:tcPr>
            <w:tcW w:w="3500" w:type="dxa"/>
            <w:tcBorders>
              <w:top w:val="nil"/>
              <w:left w:val="single" w:sz="4" w:space="0" w:color="000000"/>
              <w:bottom w:val="single" w:sz="4" w:space="0" w:color="000000"/>
              <w:right w:val="nil"/>
            </w:tcBorders>
            <w:vAlign w:val="bottom"/>
            <w:hideMark/>
          </w:tcPr>
          <w:p w14:paraId="2C4A7326" w14:textId="77777777" w:rsidR="00185B15" w:rsidRPr="00247DE9" w:rsidRDefault="00185B15">
            <w:pPr>
              <w:suppressAutoHyphens/>
              <w:rPr>
                <w:sz w:val="24"/>
                <w:szCs w:val="24"/>
                <w:lang w:val="lt-LT" w:eastAsia="zh-CN"/>
              </w:rPr>
            </w:pPr>
            <w:r w:rsidRPr="00247DE9">
              <w:rPr>
                <w:sz w:val="24"/>
                <w:szCs w:val="24"/>
                <w:lang w:val="lt-LT"/>
              </w:rPr>
              <w:t>Kompensacija už suteiktas lengvatas</w:t>
            </w:r>
          </w:p>
        </w:tc>
        <w:tc>
          <w:tcPr>
            <w:tcW w:w="1477" w:type="dxa"/>
            <w:tcBorders>
              <w:top w:val="nil"/>
              <w:left w:val="single" w:sz="4" w:space="0" w:color="000000"/>
              <w:bottom w:val="single" w:sz="4" w:space="0" w:color="000000"/>
              <w:right w:val="nil"/>
            </w:tcBorders>
            <w:vAlign w:val="bottom"/>
            <w:hideMark/>
          </w:tcPr>
          <w:p w14:paraId="3F3052F2" w14:textId="77777777" w:rsidR="00185B15" w:rsidRPr="00247DE9" w:rsidRDefault="00185B15">
            <w:pPr>
              <w:suppressAutoHyphens/>
              <w:jc w:val="center"/>
              <w:rPr>
                <w:sz w:val="24"/>
                <w:szCs w:val="24"/>
                <w:lang w:val="en-US" w:eastAsia="zh-CN"/>
              </w:rPr>
            </w:pPr>
            <w:r w:rsidRPr="00247DE9">
              <w:rPr>
                <w:sz w:val="24"/>
                <w:szCs w:val="24"/>
              </w:rPr>
              <w:t>45.370</w:t>
            </w:r>
          </w:p>
        </w:tc>
        <w:tc>
          <w:tcPr>
            <w:tcW w:w="1275" w:type="dxa"/>
            <w:tcBorders>
              <w:top w:val="nil"/>
              <w:left w:val="single" w:sz="4" w:space="0" w:color="000000"/>
              <w:bottom w:val="single" w:sz="4" w:space="0" w:color="000000"/>
              <w:right w:val="nil"/>
            </w:tcBorders>
            <w:vAlign w:val="bottom"/>
            <w:hideMark/>
          </w:tcPr>
          <w:p w14:paraId="3BEAD519" w14:textId="77777777" w:rsidR="00185B15" w:rsidRPr="00247DE9" w:rsidRDefault="00185B15">
            <w:pPr>
              <w:suppressAutoHyphens/>
              <w:jc w:val="center"/>
              <w:rPr>
                <w:sz w:val="24"/>
                <w:szCs w:val="24"/>
                <w:lang w:val="en-US" w:eastAsia="zh-CN"/>
              </w:rPr>
            </w:pPr>
            <w:r w:rsidRPr="00247DE9">
              <w:rPr>
                <w:sz w:val="24"/>
                <w:szCs w:val="24"/>
              </w:rPr>
              <w:t>30.283</w:t>
            </w:r>
          </w:p>
        </w:tc>
        <w:tc>
          <w:tcPr>
            <w:tcW w:w="1678" w:type="dxa"/>
            <w:tcBorders>
              <w:top w:val="nil"/>
              <w:left w:val="single" w:sz="4" w:space="0" w:color="000000"/>
              <w:bottom w:val="single" w:sz="4" w:space="0" w:color="000000"/>
              <w:right w:val="nil"/>
            </w:tcBorders>
            <w:vAlign w:val="bottom"/>
            <w:hideMark/>
          </w:tcPr>
          <w:p w14:paraId="3AFDE8FD" w14:textId="77777777" w:rsidR="00185B15" w:rsidRPr="00247DE9" w:rsidRDefault="00185B15">
            <w:pPr>
              <w:suppressAutoHyphens/>
              <w:jc w:val="center"/>
              <w:rPr>
                <w:sz w:val="24"/>
                <w:szCs w:val="24"/>
                <w:lang w:val="en-US" w:eastAsia="zh-CN"/>
              </w:rPr>
            </w:pPr>
            <w:r w:rsidRPr="00247DE9">
              <w:rPr>
                <w:sz w:val="24"/>
                <w:szCs w:val="24"/>
              </w:rPr>
              <w:t>-15.087</w:t>
            </w:r>
          </w:p>
        </w:tc>
        <w:tc>
          <w:tcPr>
            <w:tcW w:w="1764" w:type="dxa"/>
            <w:tcBorders>
              <w:top w:val="nil"/>
              <w:left w:val="single" w:sz="4" w:space="0" w:color="000000"/>
              <w:bottom w:val="single" w:sz="4" w:space="0" w:color="000000"/>
              <w:right w:val="single" w:sz="4" w:space="0" w:color="000000"/>
            </w:tcBorders>
            <w:vAlign w:val="bottom"/>
            <w:hideMark/>
          </w:tcPr>
          <w:p w14:paraId="39E001A2" w14:textId="77777777" w:rsidR="00185B15" w:rsidRPr="00247DE9" w:rsidRDefault="00185B15">
            <w:pPr>
              <w:suppressAutoHyphens/>
              <w:jc w:val="center"/>
              <w:rPr>
                <w:sz w:val="24"/>
                <w:szCs w:val="24"/>
                <w:lang w:val="en-US" w:eastAsia="zh-CN"/>
              </w:rPr>
            </w:pPr>
            <w:r w:rsidRPr="00247DE9">
              <w:rPr>
                <w:sz w:val="24"/>
                <w:szCs w:val="24"/>
              </w:rPr>
              <w:t>-33</w:t>
            </w:r>
          </w:p>
        </w:tc>
      </w:tr>
      <w:tr w:rsidR="00185B15" w:rsidRPr="00247DE9" w14:paraId="47AD3389" w14:textId="77777777" w:rsidTr="00185B15">
        <w:trPr>
          <w:trHeight w:val="360"/>
        </w:trPr>
        <w:tc>
          <w:tcPr>
            <w:tcW w:w="3500" w:type="dxa"/>
            <w:tcBorders>
              <w:top w:val="nil"/>
              <w:left w:val="single" w:sz="4" w:space="0" w:color="000000"/>
              <w:bottom w:val="single" w:sz="4" w:space="0" w:color="000000"/>
              <w:right w:val="nil"/>
            </w:tcBorders>
            <w:vAlign w:val="bottom"/>
            <w:hideMark/>
          </w:tcPr>
          <w:p w14:paraId="0C88AF63" w14:textId="77777777" w:rsidR="00185B15" w:rsidRPr="00247DE9" w:rsidRDefault="00185B15">
            <w:pPr>
              <w:suppressAutoHyphens/>
              <w:rPr>
                <w:sz w:val="24"/>
                <w:szCs w:val="24"/>
                <w:lang w:val="lt-LT" w:eastAsia="zh-CN"/>
              </w:rPr>
            </w:pPr>
            <w:r w:rsidRPr="00247DE9">
              <w:rPr>
                <w:sz w:val="24"/>
                <w:szCs w:val="24"/>
                <w:lang w:val="lt-LT"/>
              </w:rPr>
              <w:t>Kompensacija už mokinių vežimą</w:t>
            </w:r>
          </w:p>
        </w:tc>
        <w:tc>
          <w:tcPr>
            <w:tcW w:w="1477" w:type="dxa"/>
            <w:tcBorders>
              <w:top w:val="nil"/>
              <w:left w:val="single" w:sz="4" w:space="0" w:color="000000"/>
              <w:bottom w:val="single" w:sz="4" w:space="0" w:color="000000"/>
              <w:right w:val="nil"/>
            </w:tcBorders>
            <w:vAlign w:val="bottom"/>
            <w:hideMark/>
          </w:tcPr>
          <w:p w14:paraId="72BD2AF9" w14:textId="77777777" w:rsidR="00185B15" w:rsidRPr="00247DE9" w:rsidRDefault="00185B15">
            <w:pPr>
              <w:suppressAutoHyphens/>
              <w:jc w:val="center"/>
              <w:rPr>
                <w:sz w:val="24"/>
                <w:szCs w:val="24"/>
                <w:lang w:val="en-US" w:eastAsia="zh-CN"/>
              </w:rPr>
            </w:pPr>
            <w:r w:rsidRPr="00247DE9">
              <w:rPr>
                <w:sz w:val="24"/>
                <w:szCs w:val="24"/>
              </w:rPr>
              <w:t>311.407</w:t>
            </w:r>
          </w:p>
        </w:tc>
        <w:tc>
          <w:tcPr>
            <w:tcW w:w="1275" w:type="dxa"/>
            <w:tcBorders>
              <w:top w:val="nil"/>
              <w:left w:val="single" w:sz="4" w:space="0" w:color="000000"/>
              <w:bottom w:val="single" w:sz="4" w:space="0" w:color="000000"/>
              <w:right w:val="nil"/>
            </w:tcBorders>
            <w:vAlign w:val="bottom"/>
            <w:hideMark/>
          </w:tcPr>
          <w:p w14:paraId="5E2693A2" w14:textId="77777777" w:rsidR="00185B15" w:rsidRPr="00247DE9" w:rsidRDefault="00185B15">
            <w:pPr>
              <w:suppressAutoHyphens/>
              <w:jc w:val="center"/>
              <w:rPr>
                <w:sz w:val="24"/>
                <w:szCs w:val="24"/>
                <w:lang w:val="en-US" w:eastAsia="zh-CN"/>
              </w:rPr>
            </w:pPr>
            <w:r w:rsidRPr="00247DE9">
              <w:rPr>
                <w:sz w:val="24"/>
                <w:szCs w:val="24"/>
              </w:rPr>
              <w:t>193.243</w:t>
            </w:r>
          </w:p>
        </w:tc>
        <w:tc>
          <w:tcPr>
            <w:tcW w:w="1678" w:type="dxa"/>
            <w:tcBorders>
              <w:top w:val="nil"/>
              <w:left w:val="single" w:sz="4" w:space="0" w:color="000000"/>
              <w:bottom w:val="single" w:sz="4" w:space="0" w:color="000000"/>
              <w:right w:val="nil"/>
            </w:tcBorders>
            <w:vAlign w:val="bottom"/>
            <w:hideMark/>
          </w:tcPr>
          <w:p w14:paraId="08FA8D64" w14:textId="77777777" w:rsidR="00185B15" w:rsidRPr="00247DE9" w:rsidRDefault="00185B15">
            <w:pPr>
              <w:suppressAutoHyphens/>
              <w:jc w:val="center"/>
              <w:rPr>
                <w:sz w:val="24"/>
                <w:szCs w:val="24"/>
                <w:lang w:val="en-US" w:eastAsia="zh-CN"/>
              </w:rPr>
            </w:pPr>
            <w:r w:rsidRPr="00247DE9">
              <w:rPr>
                <w:sz w:val="24"/>
                <w:szCs w:val="24"/>
              </w:rPr>
              <w:t>-118.164</w:t>
            </w:r>
          </w:p>
        </w:tc>
        <w:tc>
          <w:tcPr>
            <w:tcW w:w="1764" w:type="dxa"/>
            <w:tcBorders>
              <w:top w:val="nil"/>
              <w:left w:val="single" w:sz="4" w:space="0" w:color="000000"/>
              <w:bottom w:val="single" w:sz="4" w:space="0" w:color="000000"/>
              <w:right w:val="single" w:sz="4" w:space="0" w:color="000000"/>
            </w:tcBorders>
            <w:vAlign w:val="bottom"/>
            <w:hideMark/>
          </w:tcPr>
          <w:p w14:paraId="0F0ED926" w14:textId="77777777" w:rsidR="00185B15" w:rsidRPr="00247DE9" w:rsidRDefault="00185B15">
            <w:pPr>
              <w:suppressAutoHyphens/>
              <w:jc w:val="center"/>
              <w:rPr>
                <w:sz w:val="24"/>
                <w:szCs w:val="24"/>
                <w:lang w:val="en-US" w:eastAsia="zh-CN"/>
              </w:rPr>
            </w:pPr>
            <w:r w:rsidRPr="00247DE9">
              <w:rPr>
                <w:sz w:val="24"/>
                <w:szCs w:val="24"/>
              </w:rPr>
              <w:t>-38</w:t>
            </w:r>
          </w:p>
        </w:tc>
      </w:tr>
      <w:tr w:rsidR="00185B15" w:rsidRPr="00247DE9" w14:paraId="4D34AB60" w14:textId="77777777" w:rsidTr="00185B15">
        <w:trPr>
          <w:trHeight w:val="360"/>
        </w:trPr>
        <w:tc>
          <w:tcPr>
            <w:tcW w:w="3500" w:type="dxa"/>
            <w:tcBorders>
              <w:top w:val="nil"/>
              <w:left w:val="single" w:sz="4" w:space="0" w:color="000000"/>
              <w:bottom w:val="single" w:sz="4" w:space="0" w:color="000000"/>
              <w:right w:val="nil"/>
            </w:tcBorders>
            <w:vAlign w:val="bottom"/>
            <w:hideMark/>
          </w:tcPr>
          <w:p w14:paraId="5A9EF977" w14:textId="77777777" w:rsidR="00185B15" w:rsidRPr="00247DE9" w:rsidRDefault="00185B15">
            <w:pPr>
              <w:suppressAutoHyphens/>
              <w:rPr>
                <w:sz w:val="24"/>
                <w:szCs w:val="24"/>
                <w:lang w:val="lt-LT" w:eastAsia="zh-CN"/>
              </w:rPr>
            </w:pPr>
            <w:r w:rsidRPr="00247DE9">
              <w:rPr>
                <w:sz w:val="24"/>
                <w:szCs w:val="24"/>
                <w:lang w:val="lt-LT"/>
              </w:rPr>
              <w:t xml:space="preserve">Dotacija už nuostolius </w:t>
            </w:r>
          </w:p>
        </w:tc>
        <w:tc>
          <w:tcPr>
            <w:tcW w:w="1477" w:type="dxa"/>
            <w:tcBorders>
              <w:top w:val="nil"/>
              <w:left w:val="single" w:sz="4" w:space="0" w:color="000000"/>
              <w:bottom w:val="single" w:sz="4" w:space="0" w:color="000000"/>
              <w:right w:val="nil"/>
            </w:tcBorders>
            <w:vAlign w:val="bottom"/>
            <w:hideMark/>
          </w:tcPr>
          <w:p w14:paraId="1FD53D3F" w14:textId="77777777" w:rsidR="00185B15" w:rsidRPr="00247DE9" w:rsidRDefault="00185B15">
            <w:pPr>
              <w:suppressAutoHyphens/>
              <w:jc w:val="center"/>
              <w:rPr>
                <w:sz w:val="24"/>
                <w:szCs w:val="24"/>
                <w:lang w:val="en-US" w:eastAsia="zh-CN"/>
              </w:rPr>
            </w:pPr>
            <w:r w:rsidRPr="00247DE9">
              <w:rPr>
                <w:sz w:val="24"/>
                <w:szCs w:val="24"/>
              </w:rPr>
              <w:t>104.800</w:t>
            </w:r>
          </w:p>
        </w:tc>
        <w:tc>
          <w:tcPr>
            <w:tcW w:w="1275" w:type="dxa"/>
            <w:tcBorders>
              <w:top w:val="nil"/>
              <w:left w:val="single" w:sz="4" w:space="0" w:color="000000"/>
              <w:bottom w:val="single" w:sz="4" w:space="0" w:color="000000"/>
              <w:right w:val="nil"/>
            </w:tcBorders>
            <w:vAlign w:val="bottom"/>
            <w:hideMark/>
          </w:tcPr>
          <w:p w14:paraId="529B6CC2" w14:textId="77777777" w:rsidR="00185B15" w:rsidRPr="00247DE9" w:rsidRDefault="00185B15">
            <w:pPr>
              <w:suppressAutoHyphens/>
              <w:jc w:val="center"/>
              <w:rPr>
                <w:sz w:val="24"/>
                <w:szCs w:val="24"/>
                <w:lang w:val="en-US" w:eastAsia="zh-CN"/>
              </w:rPr>
            </w:pPr>
            <w:r w:rsidRPr="00247DE9">
              <w:rPr>
                <w:sz w:val="24"/>
                <w:szCs w:val="24"/>
              </w:rPr>
              <w:t>139.995</w:t>
            </w:r>
          </w:p>
        </w:tc>
        <w:tc>
          <w:tcPr>
            <w:tcW w:w="1678" w:type="dxa"/>
            <w:tcBorders>
              <w:top w:val="nil"/>
              <w:left w:val="single" w:sz="4" w:space="0" w:color="000000"/>
              <w:bottom w:val="single" w:sz="4" w:space="0" w:color="000000"/>
              <w:right w:val="nil"/>
            </w:tcBorders>
            <w:vAlign w:val="bottom"/>
            <w:hideMark/>
          </w:tcPr>
          <w:p w14:paraId="2FA82445" w14:textId="77777777" w:rsidR="00185B15" w:rsidRPr="00247DE9" w:rsidRDefault="00185B15">
            <w:pPr>
              <w:suppressAutoHyphens/>
              <w:jc w:val="center"/>
              <w:rPr>
                <w:sz w:val="24"/>
                <w:szCs w:val="24"/>
                <w:lang w:val="en-US" w:eastAsia="zh-CN"/>
              </w:rPr>
            </w:pPr>
            <w:r w:rsidRPr="00247DE9">
              <w:rPr>
                <w:sz w:val="24"/>
                <w:szCs w:val="24"/>
              </w:rPr>
              <w:t>35.195</w:t>
            </w:r>
          </w:p>
        </w:tc>
        <w:tc>
          <w:tcPr>
            <w:tcW w:w="1764" w:type="dxa"/>
            <w:tcBorders>
              <w:top w:val="nil"/>
              <w:left w:val="single" w:sz="4" w:space="0" w:color="000000"/>
              <w:bottom w:val="single" w:sz="4" w:space="0" w:color="000000"/>
              <w:right w:val="single" w:sz="4" w:space="0" w:color="000000"/>
            </w:tcBorders>
            <w:vAlign w:val="bottom"/>
            <w:hideMark/>
          </w:tcPr>
          <w:p w14:paraId="60844414" w14:textId="77777777" w:rsidR="00185B15" w:rsidRPr="00247DE9" w:rsidRDefault="00185B15">
            <w:pPr>
              <w:suppressAutoHyphens/>
              <w:jc w:val="center"/>
              <w:rPr>
                <w:sz w:val="24"/>
                <w:szCs w:val="24"/>
                <w:lang w:val="en-US" w:eastAsia="zh-CN"/>
              </w:rPr>
            </w:pPr>
            <w:r w:rsidRPr="00247DE9">
              <w:rPr>
                <w:sz w:val="24"/>
                <w:szCs w:val="24"/>
              </w:rPr>
              <w:t>34</w:t>
            </w:r>
          </w:p>
        </w:tc>
      </w:tr>
      <w:tr w:rsidR="00185B15" w:rsidRPr="00247DE9" w14:paraId="7BAD4E8F" w14:textId="77777777" w:rsidTr="00185B15">
        <w:trPr>
          <w:trHeight w:val="315"/>
        </w:trPr>
        <w:tc>
          <w:tcPr>
            <w:tcW w:w="3500" w:type="dxa"/>
            <w:tcBorders>
              <w:top w:val="nil"/>
              <w:left w:val="single" w:sz="4" w:space="0" w:color="000000"/>
              <w:bottom w:val="single" w:sz="4" w:space="0" w:color="000000"/>
              <w:right w:val="nil"/>
            </w:tcBorders>
            <w:vAlign w:val="bottom"/>
            <w:hideMark/>
          </w:tcPr>
          <w:p w14:paraId="789F623B" w14:textId="77777777" w:rsidR="00185B15" w:rsidRPr="00247DE9" w:rsidRDefault="00185B15">
            <w:pPr>
              <w:suppressAutoHyphens/>
              <w:jc w:val="right"/>
              <w:rPr>
                <w:sz w:val="24"/>
                <w:szCs w:val="24"/>
                <w:lang w:val="lt-LT" w:eastAsia="zh-CN"/>
              </w:rPr>
            </w:pPr>
            <w:r w:rsidRPr="00247DE9">
              <w:rPr>
                <w:b/>
                <w:bCs/>
                <w:sz w:val="24"/>
                <w:szCs w:val="24"/>
                <w:lang w:val="lt-LT"/>
              </w:rPr>
              <w:t>Iš viso:</w:t>
            </w:r>
          </w:p>
        </w:tc>
        <w:tc>
          <w:tcPr>
            <w:tcW w:w="1477" w:type="dxa"/>
            <w:tcBorders>
              <w:top w:val="nil"/>
              <w:left w:val="single" w:sz="4" w:space="0" w:color="000000"/>
              <w:bottom w:val="single" w:sz="4" w:space="0" w:color="000000"/>
              <w:right w:val="nil"/>
            </w:tcBorders>
            <w:vAlign w:val="bottom"/>
            <w:hideMark/>
          </w:tcPr>
          <w:p w14:paraId="158861E7" w14:textId="77777777" w:rsidR="00185B15" w:rsidRPr="00247DE9" w:rsidRDefault="00185B15">
            <w:pPr>
              <w:suppressAutoHyphens/>
              <w:jc w:val="center"/>
              <w:rPr>
                <w:sz w:val="24"/>
                <w:szCs w:val="24"/>
                <w:lang w:val="en-US" w:eastAsia="zh-CN"/>
              </w:rPr>
            </w:pPr>
            <w:r w:rsidRPr="00247DE9">
              <w:rPr>
                <w:b/>
                <w:bCs/>
                <w:sz w:val="24"/>
                <w:szCs w:val="24"/>
              </w:rPr>
              <w:t>461.577</w:t>
            </w:r>
          </w:p>
        </w:tc>
        <w:tc>
          <w:tcPr>
            <w:tcW w:w="1275" w:type="dxa"/>
            <w:tcBorders>
              <w:top w:val="nil"/>
              <w:left w:val="single" w:sz="4" w:space="0" w:color="000000"/>
              <w:bottom w:val="single" w:sz="4" w:space="0" w:color="000000"/>
              <w:right w:val="nil"/>
            </w:tcBorders>
            <w:vAlign w:val="bottom"/>
            <w:hideMark/>
          </w:tcPr>
          <w:p w14:paraId="2C20A71F" w14:textId="77777777" w:rsidR="00185B15" w:rsidRPr="00247DE9" w:rsidRDefault="00185B15">
            <w:pPr>
              <w:suppressAutoHyphens/>
              <w:jc w:val="center"/>
              <w:rPr>
                <w:sz w:val="24"/>
                <w:szCs w:val="24"/>
                <w:lang w:val="en-US" w:eastAsia="zh-CN"/>
              </w:rPr>
            </w:pPr>
            <w:r w:rsidRPr="00247DE9">
              <w:rPr>
                <w:b/>
                <w:bCs/>
                <w:sz w:val="24"/>
                <w:szCs w:val="24"/>
              </w:rPr>
              <w:t>363.521</w:t>
            </w:r>
          </w:p>
        </w:tc>
        <w:tc>
          <w:tcPr>
            <w:tcW w:w="1678" w:type="dxa"/>
            <w:tcBorders>
              <w:top w:val="nil"/>
              <w:left w:val="single" w:sz="4" w:space="0" w:color="000000"/>
              <w:bottom w:val="single" w:sz="4" w:space="0" w:color="000000"/>
              <w:right w:val="nil"/>
            </w:tcBorders>
            <w:vAlign w:val="bottom"/>
            <w:hideMark/>
          </w:tcPr>
          <w:p w14:paraId="7BB81FAF" w14:textId="77777777" w:rsidR="00185B15" w:rsidRPr="00247DE9" w:rsidRDefault="00185B15">
            <w:pPr>
              <w:suppressAutoHyphens/>
              <w:jc w:val="center"/>
              <w:rPr>
                <w:sz w:val="24"/>
                <w:szCs w:val="24"/>
                <w:lang w:val="en-US" w:eastAsia="zh-CN"/>
              </w:rPr>
            </w:pPr>
            <w:r w:rsidRPr="00247DE9">
              <w:rPr>
                <w:b/>
                <w:bCs/>
                <w:sz w:val="24"/>
                <w:szCs w:val="24"/>
              </w:rPr>
              <w:t>-98.056</w:t>
            </w:r>
          </w:p>
        </w:tc>
        <w:tc>
          <w:tcPr>
            <w:tcW w:w="1764" w:type="dxa"/>
            <w:tcBorders>
              <w:top w:val="nil"/>
              <w:left w:val="single" w:sz="4" w:space="0" w:color="000000"/>
              <w:bottom w:val="single" w:sz="4" w:space="0" w:color="000000"/>
              <w:right w:val="single" w:sz="4" w:space="0" w:color="000000"/>
            </w:tcBorders>
            <w:vAlign w:val="bottom"/>
          </w:tcPr>
          <w:p w14:paraId="61A46B17" w14:textId="77777777" w:rsidR="00185B15" w:rsidRPr="00247DE9" w:rsidRDefault="00185B15">
            <w:pPr>
              <w:suppressAutoHyphens/>
              <w:jc w:val="center"/>
              <w:rPr>
                <w:sz w:val="24"/>
                <w:szCs w:val="24"/>
                <w:lang w:val="en-US" w:eastAsia="zh-CN"/>
              </w:rPr>
            </w:pPr>
          </w:p>
        </w:tc>
      </w:tr>
    </w:tbl>
    <w:p w14:paraId="42ABB1CB" w14:textId="77777777" w:rsidR="00185B15" w:rsidRPr="00247DE9" w:rsidRDefault="00185B15" w:rsidP="00185B15">
      <w:pPr>
        <w:jc w:val="both"/>
        <w:rPr>
          <w:sz w:val="24"/>
          <w:szCs w:val="24"/>
          <w:lang w:val="lt-LT" w:eastAsia="zh-CN"/>
        </w:rPr>
      </w:pPr>
    </w:p>
    <w:p w14:paraId="4FD09DAD" w14:textId="4EBF906B" w:rsidR="00185B15" w:rsidRPr="00247DE9" w:rsidRDefault="00247DE9" w:rsidP="00185B15">
      <w:pPr>
        <w:jc w:val="center"/>
        <w:rPr>
          <w:sz w:val="24"/>
          <w:szCs w:val="24"/>
          <w:lang w:val="lt-LT"/>
        </w:rPr>
      </w:pPr>
      <w:r>
        <w:rPr>
          <w:noProof/>
          <w:sz w:val="24"/>
          <w:szCs w:val="24"/>
          <w:lang w:val="en-US" w:eastAsia="en-US"/>
        </w:rPr>
        <w:lastRenderedPageBreak/>
        <w:drawing>
          <wp:inline distT="0" distB="0" distL="0" distR="0" wp14:anchorId="3392FDAF" wp14:editId="089ECA32">
            <wp:extent cx="4591050" cy="2755900"/>
            <wp:effectExtent l="0" t="0" r="0" b="6350"/>
            <wp:docPr id="34" name="Paveikslėli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l="-41" t="-69" r="-41" b="-69"/>
                    <a:stretch>
                      <a:fillRect/>
                    </a:stretch>
                  </pic:blipFill>
                  <pic:spPr bwMode="auto">
                    <a:xfrm>
                      <a:off x="0" y="0"/>
                      <a:ext cx="4591050" cy="2755900"/>
                    </a:xfrm>
                    <a:prstGeom prst="rect">
                      <a:avLst/>
                    </a:prstGeom>
                    <a:solidFill>
                      <a:srgbClr val="FFFFFF"/>
                    </a:solidFill>
                    <a:ln>
                      <a:noFill/>
                    </a:ln>
                  </pic:spPr>
                </pic:pic>
              </a:graphicData>
            </a:graphic>
          </wp:inline>
        </w:drawing>
      </w:r>
    </w:p>
    <w:p w14:paraId="113DC307" w14:textId="77777777" w:rsidR="00185B15" w:rsidRPr="00247DE9" w:rsidRDefault="00185B15" w:rsidP="00185B15">
      <w:pPr>
        <w:jc w:val="both"/>
        <w:rPr>
          <w:sz w:val="24"/>
          <w:szCs w:val="24"/>
          <w:lang w:val="lt-LT"/>
        </w:rPr>
      </w:pPr>
    </w:p>
    <w:p w14:paraId="096F9A78" w14:textId="77777777" w:rsidR="00185B15" w:rsidRPr="00247DE9" w:rsidRDefault="00185B15" w:rsidP="00185B15">
      <w:pPr>
        <w:jc w:val="both"/>
        <w:rPr>
          <w:sz w:val="24"/>
          <w:szCs w:val="24"/>
          <w:lang w:val="lt-LT"/>
        </w:rPr>
      </w:pPr>
    </w:p>
    <w:p w14:paraId="1985A68B" w14:textId="4580A605" w:rsidR="00185B15" w:rsidRPr="00706BB8" w:rsidRDefault="00185B15" w:rsidP="00185B15">
      <w:pPr>
        <w:ind w:firstLine="709"/>
        <w:jc w:val="both"/>
        <w:rPr>
          <w:sz w:val="24"/>
          <w:szCs w:val="24"/>
          <w:lang w:val="lt-LT"/>
        </w:rPr>
      </w:pPr>
      <w:r w:rsidRPr="00247DE9">
        <w:rPr>
          <w:sz w:val="24"/>
          <w:szCs w:val="24"/>
          <w:lang w:val="lt-LT"/>
        </w:rPr>
        <w:t>Už vietiniuose maršrutuose patirtus nuostolius, kuriuos dengia Rokiškio rajono savivaldybė, priskaičiuota 139,9 tūkst. Eur</w:t>
      </w:r>
      <w:r w:rsidR="005C3A76">
        <w:rPr>
          <w:sz w:val="24"/>
          <w:szCs w:val="24"/>
          <w:lang w:val="lt-LT"/>
        </w:rPr>
        <w:t xml:space="preserve"> </w:t>
      </w:r>
      <w:r w:rsidR="005C3A76" w:rsidRPr="00247DE9">
        <w:rPr>
          <w:sz w:val="24"/>
          <w:szCs w:val="24"/>
          <w:lang w:val="lt-LT"/>
        </w:rPr>
        <w:t>dotacijų</w:t>
      </w:r>
      <w:r w:rsidRPr="00247DE9">
        <w:rPr>
          <w:sz w:val="24"/>
          <w:szCs w:val="24"/>
          <w:lang w:val="lt-LT"/>
        </w:rPr>
        <w:t>, t.</w:t>
      </w:r>
      <w:r w:rsidR="005C3A76">
        <w:rPr>
          <w:sz w:val="24"/>
          <w:szCs w:val="24"/>
          <w:lang w:val="lt-LT"/>
        </w:rPr>
        <w:t xml:space="preserve"> </w:t>
      </w:r>
      <w:r w:rsidRPr="00247DE9">
        <w:rPr>
          <w:sz w:val="24"/>
          <w:szCs w:val="24"/>
          <w:lang w:val="lt-LT"/>
        </w:rPr>
        <w:t>y. 15 procentų visų pajamų. 2019 m. priskaičiuotos dotacijos sudarė 6 procentus visų pajamų.</w:t>
      </w:r>
    </w:p>
    <w:p w14:paraId="3752D7C5" w14:textId="77777777" w:rsidR="00185B15" w:rsidRPr="00247DE9" w:rsidRDefault="00185B15" w:rsidP="00185B15">
      <w:pPr>
        <w:ind w:firstLine="709"/>
        <w:jc w:val="both"/>
        <w:rPr>
          <w:sz w:val="24"/>
          <w:szCs w:val="24"/>
        </w:rPr>
      </w:pPr>
      <w:r w:rsidRPr="00247DE9">
        <w:rPr>
          <w:sz w:val="24"/>
          <w:szCs w:val="24"/>
          <w:lang w:val="lt-LT"/>
        </w:rPr>
        <w:t>Bendrovės paslaugų pardavimo savikaina, veiklos ir netipinės veiklos sąnaudos ataskaitiniais metais sudarė 1074 tūkst. Eur.</w:t>
      </w:r>
    </w:p>
    <w:p w14:paraId="002C8007" w14:textId="77777777" w:rsidR="00185B15" w:rsidRPr="00247DE9" w:rsidRDefault="00185B15" w:rsidP="00185B15">
      <w:pPr>
        <w:ind w:firstLine="720"/>
        <w:jc w:val="both"/>
        <w:rPr>
          <w:sz w:val="24"/>
          <w:szCs w:val="24"/>
          <w:lang w:val="lt-LT"/>
        </w:rPr>
      </w:pPr>
    </w:p>
    <w:tbl>
      <w:tblPr>
        <w:tblW w:w="0" w:type="auto"/>
        <w:tblInd w:w="73" w:type="dxa"/>
        <w:tblLayout w:type="fixed"/>
        <w:tblLook w:val="04A0" w:firstRow="1" w:lastRow="0" w:firstColumn="1" w:lastColumn="0" w:noHBand="0" w:noVBand="1"/>
      </w:tblPr>
      <w:tblGrid>
        <w:gridCol w:w="3417"/>
        <w:gridCol w:w="1560"/>
        <w:gridCol w:w="1275"/>
        <w:gridCol w:w="1560"/>
        <w:gridCol w:w="1882"/>
      </w:tblGrid>
      <w:tr w:rsidR="00185B15" w:rsidRPr="00247DE9" w14:paraId="423E58CF" w14:textId="77777777" w:rsidTr="00185B15">
        <w:trPr>
          <w:trHeight w:val="675"/>
        </w:trPr>
        <w:tc>
          <w:tcPr>
            <w:tcW w:w="3417" w:type="dxa"/>
            <w:tcBorders>
              <w:top w:val="single" w:sz="4" w:space="0" w:color="000000"/>
              <w:left w:val="single" w:sz="4" w:space="0" w:color="000000"/>
              <w:bottom w:val="single" w:sz="4" w:space="0" w:color="000000"/>
              <w:right w:val="nil"/>
            </w:tcBorders>
            <w:vAlign w:val="center"/>
            <w:hideMark/>
          </w:tcPr>
          <w:p w14:paraId="46384FC1" w14:textId="77777777" w:rsidR="00185B15" w:rsidRPr="00247DE9" w:rsidRDefault="00185B15">
            <w:pPr>
              <w:suppressAutoHyphens/>
              <w:jc w:val="center"/>
              <w:rPr>
                <w:sz w:val="24"/>
                <w:szCs w:val="24"/>
                <w:lang w:val="lt-LT" w:eastAsia="zh-CN"/>
              </w:rPr>
            </w:pPr>
            <w:r w:rsidRPr="00247DE9">
              <w:rPr>
                <w:b/>
                <w:bCs/>
                <w:sz w:val="24"/>
                <w:szCs w:val="24"/>
                <w:lang w:val="lt-LT"/>
              </w:rPr>
              <w:t>Sąnaudos</w:t>
            </w:r>
          </w:p>
        </w:tc>
        <w:tc>
          <w:tcPr>
            <w:tcW w:w="1560" w:type="dxa"/>
            <w:tcBorders>
              <w:top w:val="single" w:sz="4" w:space="0" w:color="000000"/>
              <w:left w:val="single" w:sz="4" w:space="0" w:color="000000"/>
              <w:bottom w:val="single" w:sz="4" w:space="0" w:color="000000"/>
              <w:right w:val="nil"/>
            </w:tcBorders>
            <w:vAlign w:val="center"/>
            <w:hideMark/>
          </w:tcPr>
          <w:p w14:paraId="79587654" w14:textId="77777777" w:rsidR="00185B15" w:rsidRPr="00247DE9" w:rsidRDefault="00185B15">
            <w:pPr>
              <w:suppressAutoHyphens/>
              <w:jc w:val="center"/>
              <w:rPr>
                <w:sz w:val="24"/>
                <w:szCs w:val="24"/>
                <w:lang w:val="en-US" w:eastAsia="zh-CN"/>
              </w:rPr>
            </w:pPr>
            <w:r w:rsidRPr="00247DE9">
              <w:rPr>
                <w:b/>
                <w:bCs/>
                <w:sz w:val="24"/>
                <w:szCs w:val="24"/>
              </w:rPr>
              <w:t>2019 m.</w:t>
            </w:r>
          </w:p>
        </w:tc>
        <w:tc>
          <w:tcPr>
            <w:tcW w:w="1275" w:type="dxa"/>
            <w:tcBorders>
              <w:top w:val="single" w:sz="4" w:space="0" w:color="000000"/>
              <w:left w:val="single" w:sz="4" w:space="0" w:color="000000"/>
              <w:bottom w:val="single" w:sz="4" w:space="0" w:color="000000"/>
              <w:right w:val="nil"/>
            </w:tcBorders>
            <w:vAlign w:val="center"/>
            <w:hideMark/>
          </w:tcPr>
          <w:p w14:paraId="51C06D39" w14:textId="77777777" w:rsidR="00185B15" w:rsidRPr="00247DE9" w:rsidRDefault="00185B15">
            <w:pPr>
              <w:suppressAutoHyphens/>
              <w:jc w:val="center"/>
              <w:rPr>
                <w:sz w:val="24"/>
                <w:szCs w:val="24"/>
                <w:lang w:val="en-US" w:eastAsia="zh-CN"/>
              </w:rPr>
            </w:pPr>
            <w:r w:rsidRPr="00247DE9">
              <w:rPr>
                <w:b/>
                <w:bCs/>
                <w:sz w:val="24"/>
                <w:szCs w:val="24"/>
              </w:rPr>
              <w:t>2020 m</w:t>
            </w:r>
          </w:p>
        </w:tc>
        <w:tc>
          <w:tcPr>
            <w:tcW w:w="1560" w:type="dxa"/>
            <w:tcBorders>
              <w:top w:val="single" w:sz="4" w:space="0" w:color="000000"/>
              <w:left w:val="single" w:sz="4" w:space="0" w:color="000000"/>
              <w:bottom w:val="single" w:sz="4" w:space="0" w:color="000000"/>
              <w:right w:val="nil"/>
            </w:tcBorders>
            <w:vAlign w:val="center"/>
            <w:hideMark/>
          </w:tcPr>
          <w:p w14:paraId="5E2B1586" w14:textId="77777777" w:rsidR="00185B15" w:rsidRPr="00247DE9" w:rsidRDefault="00185B15">
            <w:pPr>
              <w:suppressAutoHyphens/>
              <w:jc w:val="center"/>
              <w:rPr>
                <w:sz w:val="24"/>
                <w:szCs w:val="24"/>
                <w:lang w:val="en-US" w:eastAsia="zh-CN"/>
              </w:rPr>
            </w:pPr>
            <w:r w:rsidRPr="00247DE9">
              <w:rPr>
                <w:b/>
                <w:bCs/>
                <w:sz w:val="24"/>
                <w:szCs w:val="24"/>
              </w:rPr>
              <w:t xml:space="preserve">2020/2019 m. </w:t>
            </w:r>
            <w:r w:rsidRPr="00247DE9">
              <w:rPr>
                <w:b/>
                <w:bCs/>
                <w:sz w:val="24"/>
                <w:szCs w:val="24"/>
                <w:lang w:val="lt-LT"/>
              </w:rPr>
              <w:t xml:space="preserve">kitimas </w:t>
            </w:r>
            <w:r w:rsidRPr="00247DE9">
              <w:rPr>
                <w:b/>
                <w:bCs/>
                <w:sz w:val="24"/>
                <w:szCs w:val="24"/>
              </w:rPr>
              <w:t>(+,-)</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35E58C26" w14:textId="77777777" w:rsidR="00185B15" w:rsidRPr="00247DE9" w:rsidRDefault="00185B15">
            <w:pPr>
              <w:suppressAutoHyphens/>
              <w:jc w:val="center"/>
              <w:rPr>
                <w:sz w:val="24"/>
                <w:szCs w:val="24"/>
                <w:lang w:val="en-US" w:eastAsia="zh-CN"/>
              </w:rPr>
            </w:pPr>
            <w:r w:rsidRPr="00247DE9">
              <w:rPr>
                <w:b/>
                <w:bCs/>
                <w:sz w:val="24"/>
                <w:szCs w:val="24"/>
              </w:rPr>
              <w:t xml:space="preserve">2020/2019 m. </w:t>
            </w:r>
            <w:r w:rsidRPr="00247DE9">
              <w:rPr>
                <w:b/>
                <w:bCs/>
                <w:sz w:val="24"/>
                <w:szCs w:val="24"/>
                <w:lang w:val="lt-LT"/>
              </w:rPr>
              <w:t>kitimas (</w:t>
            </w:r>
            <w:r w:rsidRPr="00247DE9">
              <w:rPr>
                <w:b/>
                <w:bCs/>
                <w:sz w:val="24"/>
                <w:szCs w:val="24"/>
              </w:rPr>
              <w:t>%)</w:t>
            </w:r>
          </w:p>
        </w:tc>
      </w:tr>
      <w:tr w:rsidR="00185B15" w:rsidRPr="00247DE9" w14:paraId="7E1FA8CB" w14:textId="77777777" w:rsidTr="00185B15">
        <w:trPr>
          <w:trHeight w:val="360"/>
        </w:trPr>
        <w:tc>
          <w:tcPr>
            <w:tcW w:w="3417" w:type="dxa"/>
            <w:tcBorders>
              <w:top w:val="nil"/>
              <w:left w:val="single" w:sz="4" w:space="0" w:color="000000"/>
              <w:bottom w:val="single" w:sz="4" w:space="0" w:color="000000"/>
              <w:right w:val="nil"/>
            </w:tcBorders>
            <w:vAlign w:val="bottom"/>
            <w:hideMark/>
          </w:tcPr>
          <w:p w14:paraId="6CE1D038" w14:textId="77777777" w:rsidR="00185B15" w:rsidRPr="00247DE9" w:rsidRDefault="00185B15">
            <w:pPr>
              <w:suppressAutoHyphens/>
              <w:rPr>
                <w:sz w:val="24"/>
                <w:szCs w:val="24"/>
                <w:lang w:val="lt-LT" w:eastAsia="zh-CN"/>
              </w:rPr>
            </w:pPr>
            <w:r w:rsidRPr="00247DE9">
              <w:rPr>
                <w:sz w:val="24"/>
                <w:szCs w:val="24"/>
                <w:lang w:val="lt-LT"/>
              </w:rPr>
              <w:t>Darbo užmokesčio sąnaudos</w:t>
            </w:r>
          </w:p>
        </w:tc>
        <w:tc>
          <w:tcPr>
            <w:tcW w:w="1560" w:type="dxa"/>
            <w:tcBorders>
              <w:top w:val="nil"/>
              <w:left w:val="single" w:sz="4" w:space="0" w:color="000000"/>
              <w:bottom w:val="single" w:sz="4" w:space="0" w:color="000000"/>
              <w:right w:val="nil"/>
            </w:tcBorders>
            <w:vAlign w:val="bottom"/>
            <w:hideMark/>
          </w:tcPr>
          <w:p w14:paraId="2DFDD813" w14:textId="77777777" w:rsidR="00185B15" w:rsidRPr="00247DE9" w:rsidRDefault="00185B15">
            <w:pPr>
              <w:suppressAutoHyphens/>
              <w:jc w:val="center"/>
              <w:rPr>
                <w:sz w:val="24"/>
                <w:szCs w:val="24"/>
                <w:lang w:val="en-US" w:eastAsia="zh-CN"/>
              </w:rPr>
            </w:pPr>
            <w:r w:rsidRPr="00247DE9">
              <w:rPr>
                <w:sz w:val="24"/>
                <w:szCs w:val="24"/>
              </w:rPr>
              <w:t>933.946</w:t>
            </w:r>
          </w:p>
        </w:tc>
        <w:tc>
          <w:tcPr>
            <w:tcW w:w="1275" w:type="dxa"/>
            <w:tcBorders>
              <w:top w:val="nil"/>
              <w:left w:val="single" w:sz="4" w:space="0" w:color="000000"/>
              <w:bottom w:val="single" w:sz="4" w:space="0" w:color="000000"/>
              <w:right w:val="nil"/>
            </w:tcBorders>
            <w:vAlign w:val="bottom"/>
            <w:hideMark/>
          </w:tcPr>
          <w:p w14:paraId="7E5721BF" w14:textId="77777777" w:rsidR="00185B15" w:rsidRPr="00247DE9" w:rsidRDefault="00185B15">
            <w:pPr>
              <w:suppressAutoHyphens/>
              <w:jc w:val="center"/>
              <w:rPr>
                <w:sz w:val="24"/>
                <w:szCs w:val="24"/>
                <w:lang w:val="en-US" w:eastAsia="zh-CN"/>
              </w:rPr>
            </w:pPr>
            <w:r w:rsidRPr="00247DE9">
              <w:rPr>
                <w:sz w:val="24"/>
                <w:szCs w:val="24"/>
              </w:rPr>
              <w:t>827.568</w:t>
            </w:r>
          </w:p>
        </w:tc>
        <w:tc>
          <w:tcPr>
            <w:tcW w:w="1560" w:type="dxa"/>
            <w:tcBorders>
              <w:top w:val="nil"/>
              <w:left w:val="single" w:sz="4" w:space="0" w:color="000000"/>
              <w:bottom w:val="single" w:sz="4" w:space="0" w:color="000000"/>
              <w:right w:val="nil"/>
            </w:tcBorders>
            <w:vAlign w:val="bottom"/>
            <w:hideMark/>
          </w:tcPr>
          <w:p w14:paraId="6FB69C36" w14:textId="77777777" w:rsidR="00185B15" w:rsidRPr="00247DE9" w:rsidRDefault="00185B15">
            <w:pPr>
              <w:suppressAutoHyphens/>
              <w:jc w:val="center"/>
              <w:rPr>
                <w:sz w:val="24"/>
                <w:szCs w:val="24"/>
                <w:lang w:val="en-US" w:eastAsia="zh-CN"/>
              </w:rPr>
            </w:pPr>
            <w:r w:rsidRPr="00247DE9">
              <w:rPr>
                <w:b/>
                <w:bCs/>
                <w:sz w:val="24"/>
                <w:szCs w:val="24"/>
              </w:rPr>
              <w:t>-106.378</w:t>
            </w:r>
          </w:p>
        </w:tc>
        <w:tc>
          <w:tcPr>
            <w:tcW w:w="1882" w:type="dxa"/>
            <w:tcBorders>
              <w:top w:val="nil"/>
              <w:left w:val="single" w:sz="4" w:space="0" w:color="000000"/>
              <w:bottom w:val="single" w:sz="4" w:space="0" w:color="000000"/>
              <w:right w:val="single" w:sz="4" w:space="0" w:color="000000"/>
            </w:tcBorders>
            <w:vAlign w:val="bottom"/>
            <w:hideMark/>
          </w:tcPr>
          <w:p w14:paraId="4B93BF53" w14:textId="77777777" w:rsidR="00185B15" w:rsidRPr="00247DE9" w:rsidRDefault="00185B15">
            <w:pPr>
              <w:suppressAutoHyphens/>
              <w:jc w:val="center"/>
              <w:rPr>
                <w:sz w:val="24"/>
                <w:szCs w:val="24"/>
                <w:lang w:val="en-US" w:eastAsia="zh-CN"/>
              </w:rPr>
            </w:pPr>
            <w:r w:rsidRPr="00247DE9">
              <w:rPr>
                <w:sz w:val="24"/>
                <w:szCs w:val="24"/>
              </w:rPr>
              <w:t>-11</w:t>
            </w:r>
          </w:p>
        </w:tc>
      </w:tr>
      <w:tr w:rsidR="00185B15" w:rsidRPr="00247DE9" w14:paraId="2226F324" w14:textId="77777777" w:rsidTr="00185B15">
        <w:trPr>
          <w:trHeight w:val="360"/>
        </w:trPr>
        <w:tc>
          <w:tcPr>
            <w:tcW w:w="3417" w:type="dxa"/>
            <w:tcBorders>
              <w:top w:val="nil"/>
              <w:left w:val="single" w:sz="4" w:space="0" w:color="000000"/>
              <w:bottom w:val="single" w:sz="4" w:space="0" w:color="000000"/>
              <w:right w:val="nil"/>
            </w:tcBorders>
            <w:vAlign w:val="bottom"/>
            <w:hideMark/>
          </w:tcPr>
          <w:p w14:paraId="1F9B6531" w14:textId="77777777" w:rsidR="00185B15" w:rsidRPr="00247DE9" w:rsidRDefault="00185B15">
            <w:pPr>
              <w:suppressAutoHyphens/>
              <w:rPr>
                <w:sz w:val="24"/>
                <w:szCs w:val="24"/>
                <w:lang w:val="lt-LT" w:eastAsia="zh-CN"/>
              </w:rPr>
            </w:pPr>
            <w:r w:rsidRPr="00247DE9">
              <w:rPr>
                <w:sz w:val="24"/>
                <w:szCs w:val="24"/>
                <w:lang w:val="lt-LT"/>
              </w:rPr>
              <w:t>Subsidija darbo užmokesčiui</w:t>
            </w:r>
          </w:p>
        </w:tc>
        <w:tc>
          <w:tcPr>
            <w:tcW w:w="1560" w:type="dxa"/>
            <w:tcBorders>
              <w:top w:val="nil"/>
              <w:left w:val="single" w:sz="4" w:space="0" w:color="000000"/>
              <w:bottom w:val="single" w:sz="4" w:space="0" w:color="000000"/>
              <w:right w:val="nil"/>
            </w:tcBorders>
            <w:vAlign w:val="bottom"/>
            <w:hideMark/>
          </w:tcPr>
          <w:p w14:paraId="2785BC94" w14:textId="77777777" w:rsidR="00185B15" w:rsidRPr="00247DE9" w:rsidRDefault="00185B15">
            <w:pPr>
              <w:suppressAutoHyphens/>
              <w:jc w:val="center"/>
              <w:rPr>
                <w:sz w:val="24"/>
                <w:szCs w:val="24"/>
                <w:lang w:val="en-US" w:eastAsia="zh-CN"/>
              </w:rPr>
            </w:pPr>
            <w:r w:rsidRPr="00247DE9">
              <w:rPr>
                <w:sz w:val="24"/>
                <w:szCs w:val="24"/>
              </w:rPr>
              <w:t>-</w:t>
            </w:r>
          </w:p>
        </w:tc>
        <w:tc>
          <w:tcPr>
            <w:tcW w:w="1275" w:type="dxa"/>
            <w:tcBorders>
              <w:top w:val="nil"/>
              <w:left w:val="single" w:sz="4" w:space="0" w:color="000000"/>
              <w:bottom w:val="single" w:sz="4" w:space="0" w:color="000000"/>
              <w:right w:val="nil"/>
            </w:tcBorders>
            <w:vAlign w:val="bottom"/>
            <w:hideMark/>
          </w:tcPr>
          <w:p w14:paraId="50A040F2" w14:textId="77777777" w:rsidR="00185B15" w:rsidRPr="00247DE9" w:rsidRDefault="00185B15">
            <w:pPr>
              <w:suppressAutoHyphens/>
              <w:jc w:val="center"/>
              <w:rPr>
                <w:sz w:val="24"/>
                <w:szCs w:val="24"/>
                <w:lang w:val="en-US" w:eastAsia="zh-CN"/>
              </w:rPr>
            </w:pPr>
            <w:r w:rsidRPr="00247DE9">
              <w:rPr>
                <w:sz w:val="24"/>
                <w:szCs w:val="24"/>
              </w:rPr>
              <w:t>-242.845</w:t>
            </w:r>
          </w:p>
        </w:tc>
        <w:tc>
          <w:tcPr>
            <w:tcW w:w="1560" w:type="dxa"/>
            <w:tcBorders>
              <w:top w:val="nil"/>
              <w:left w:val="single" w:sz="4" w:space="0" w:color="000000"/>
              <w:bottom w:val="single" w:sz="4" w:space="0" w:color="000000"/>
              <w:right w:val="nil"/>
            </w:tcBorders>
            <w:vAlign w:val="bottom"/>
            <w:hideMark/>
          </w:tcPr>
          <w:p w14:paraId="2EE8732F" w14:textId="77777777" w:rsidR="00185B15" w:rsidRPr="00247DE9" w:rsidRDefault="00185B15">
            <w:pPr>
              <w:suppressAutoHyphens/>
              <w:jc w:val="center"/>
              <w:rPr>
                <w:sz w:val="24"/>
                <w:szCs w:val="24"/>
                <w:lang w:val="en-US" w:eastAsia="zh-CN"/>
              </w:rPr>
            </w:pPr>
            <w:r w:rsidRPr="00247DE9">
              <w:rPr>
                <w:b/>
                <w:bCs/>
                <w:sz w:val="24"/>
                <w:szCs w:val="24"/>
              </w:rPr>
              <w:t>-242.845</w:t>
            </w:r>
          </w:p>
        </w:tc>
        <w:tc>
          <w:tcPr>
            <w:tcW w:w="1882" w:type="dxa"/>
            <w:tcBorders>
              <w:top w:val="nil"/>
              <w:left w:val="single" w:sz="4" w:space="0" w:color="000000"/>
              <w:bottom w:val="single" w:sz="4" w:space="0" w:color="000000"/>
              <w:right w:val="single" w:sz="4" w:space="0" w:color="000000"/>
            </w:tcBorders>
            <w:vAlign w:val="bottom"/>
            <w:hideMark/>
          </w:tcPr>
          <w:p w14:paraId="2697A1CD" w14:textId="77777777" w:rsidR="00185B15" w:rsidRPr="00247DE9" w:rsidRDefault="00185B15">
            <w:pPr>
              <w:suppressAutoHyphens/>
              <w:jc w:val="center"/>
              <w:rPr>
                <w:sz w:val="24"/>
                <w:szCs w:val="24"/>
                <w:lang w:val="en-US" w:eastAsia="zh-CN"/>
              </w:rPr>
            </w:pPr>
            <w:r w:rsidRPr="00247DE9">
              <w:rPr>
                <w:sz w:val="24"/>
                <w:szCs w:val="24"/>
              </w:rPr>
              <w:t>-</w:t>
            </w:r>
          </w:p>
        </w:tc>
      </w:tr>
      <w:tr w:rsidR="00185B15" w:rsidRPr="00247DE9" w14:paraId="2F9C694E" w14:textId="77777777" w:rsidTr="00185B15">
        <w:trPr>
          <w:trHeight w:val="360"/>
        </w:trPr>
        <w:tc>
          <w:tcPr>
            <w:tcW w:w="3417" w:type="dxa"/>
            <w:tcBorders>
              <w:top w:val="nil"/>
              <w:left w:val="single" w:sz="4" w:space="0" w:color="000000"/>
              <w:bottom w:val="single" w:sz="4" w:space="0" w:color="000000"/>
              <w:right w:val="nil"/>
            </w:tcBorders>
            <w:vAlign w:val="bottom"/>
            <w:hideMark/>
          </w:tcPr>
          <w:p w14:paraId="4B4A725C" w14:textId="77777777" w:rsidR="00185B15" w:rsidRPr="00247DE9" w:rsidRDefault="00185B15">
            <w:pPr>
              <w:suppressAutoHyphens/>
              <w:rPr>
                <w:sz w:val="24"/>
                <w:szCs w:val="24"/>
                <w:lang w:val="lt-LT" w:eastAsia="zh-CN"/>
              </w:rPr>
            </w:pPr>
            <w:r w:rsidRPr="00247DE9">
              <w:rPr>
                <w:sz w:val="24"/>
                <w:szCs w:val="24"/>
                <w:lang w:val="lt-LT"/>
              </w:rPr>
              <w:t>Degalai ir tepalai</w:t>
            </w:r>
          </w:p>
        </w:tc>
        <w:tc>
          <w:tcPr>
            <w:tcW w:w="1560" w:type="dxa"/>
            <w:tcBorders>
              <w:top w:val="nil"/>
              <w:left w:val="single" w:sz="4" w:space="0" w:color="000000"/>
              <w:bottom w:val="single" w:sz="4" w:space="0" w:color="000000"/>
              <w:right w:val="nil"/>
            </w:tcBorders>
            <w:vAlign w:val="bottom"/>
            <w:hideMark/>
          </w:tcPr>
          <w:p w14:paraId="02121BCD" w14:textId="77777777" w:rsidR="00185B15" w:rsidRPr="00247DE9" w:rsidRDefault="00185B15">
            <w:pPr>
              <w:suppressAutoHyphens/>
              <w:jc w:val="center"/>
              <w:rPr>
                <w:sz w:val="24"/>
                <w:szCs w:val="24"/>
                <w:lang w:val="en-US" w:eastAsia="zh-CN"/>
              </w:rPr>
            </w:pPr>
            <w:r w:rsidRPr="00247DE9">
              <w:rPr>
                <w:sz w:val="24"/>
                <w:szCs w:val="24"/>
              </w:rPr>
              <w:t>466.762</w:t>
            </w:r>
          </w:p>
        </w:tc>
        <w:tc>
          <w:tcPr>
            <w:tcW w:w="1275" w:type="dxa"/>
            <w:tcBorders>
              <w:top w:val="nil"/>
              <w:left w:val="single" w:sz="4" w:space="0" w:color="000000"/>
              <w:bottom w:val="single" w:sz="4" w:space="0" w:color="000000"/>
              <w:right w:val="nil"/>
            </w:tcBorders>
            <w:vAlign w:val="bottom"/>
            <w:hideMark/>
          </w:tcPr>
          <w:p w14:paraId="0BC13BED" w14:textId="77777777" w:rsidR="00185B15" w:rsidRPr="00247DE9" w:rsidRDefault="00185B15">
            <w:pPr>
              <w:suppressAutoHyphens/>
              <w:jc w:val="center"/>
              <w:rPr>
                <w:sz w:val="24"/>
                <w:szCs w:val="24"/>
                <w:lang w:val="en-US" w:eastAsia="zh-CN"/>
              </w:rPr>
            </w:pPr>
            <w:r w:rsidRPr="00247DE9">
              <w:rPr>
                <w:sz w:val="24"/>
                <w:szCs w:val="24"/>
              </w:rPr>
              <w:t>216.701</w:t>
            </w:r>
          </w:p>
        </w:tc>
        <w:tc>
          <w:tcPr>
            <w:tcW w:w="1560" w:type="dxa"/>
            <w:tcBorders>
              <w:top w:val="nil"/>
              <w:left w:val="single" w:sz="4" w:space="0" w:color="000000"/>
              <w:bottom w:val="single" w:sz="4" w:space="0" w:color="000000"/>
              <w:right w:val="nil"/>
            </w:tcBorders>
            <w:vAlign w:val="bottom"/>
            <w:hideMark/>
          </w:tcPr>
          <w:p w14:paraId="0F24AC46" w14:textId="77777777" w:rsidR="00185B15" w:rsidRPr="00247DE9" w:rsidRDefault="00185B15">
            <w:pPr>
              <w:suppressAutoHyphens/>
              <w:jc w:val="center"/>
              <w:rPr>
                <w:sz w:val="24"/>
                <w:szCs w:val="24"/>
                <w:lang w:val="en-US" w:eastAsia="zh-CN"/>
              </w:rPr>
            </w:pPr>
            <w:r w:rsidRPr="00247DE9">
              <w:rPr>
                <w:b/>
                <w:bCs/>
                <w:sz w:val="24"/>
                <w:szCs w:val="24"/>
              </w:rPr>
              <w:t>-250.061</w:t>
            </w:r>
          </w:p>
        </w:tc>
        <w:tc>
          <w:tcPr>
            <w:tcW w:w="1882" w:type="dxa"/>
            <w:tcBorders>
              <w:top w:val="nil"/>
              <w:left w:val="single" w:sz="4" w:space="0" w:color="000000"/>
              <w:bottom w:val="single" w:sz="4" w:space="0" w:color="000000"/>
              <w:right w:val="single" w:sz="4" w:space="0" w:color="000000"/>
            </w:tcBorders>
            <w:vAlign w:val="bottom"/>
            <w:hideMark/>
          </w:tcPr>
          <w:p w14:paraId="0CF1B43E" w14:textId="77777777" w:rsidR="00185B15" w:rsidRPr="00247DE9" w:rsidRDefault="00185B15">
            <w:pPr>
              <w:suppressAutoHyphens/>
              <w:jc w:val="center"/>
              <w:rPr>
                <w:sz w:val="24"/>
                <w:szCs w:val="24"/>
                <w:lang w:val="en-US" w:eastAsia="zh-CN"/>
              </w:rPr>
            </w:pPr>
            <w:r w:rsidRPr="00247DE9">
              <w:rPr>
                <w:sz w:val="24"/>
                <w:szCs w:val="24"/>
              </w:rPr>
              <w:t>-54</w:t>
            </w:r>
          </w:p>
        </w:tc>
      </w:tr>
      <w:tr w:rsidR="00185B15" w:rsidRPr="00247DE9" w14:paraId="74FC945B" w14:textId="77777777" w:rsidTr="00185B15">
        <w:trPr>
          <w:trHeight w:val="360"/>
        </w:trPr>
        <w:tc>
          <w:tcPr>
            <w:tcW w:w="3417" w:type="dxa"/>
            <w:tcBorders>
              <w:top w:val="nil"/>
              <w:left w:val="single" w:sz="4" w:space="0" w:color="000000"/>
              <w:bottom w:val="single" w:sz="4" w:space="0" w:color="000000"/>
              <w:right w:val="nil"/>
            </w:tcBorders>
            <w:vAlign w:val="bottom"/>
            <w:hideMark/>
          </w:tcPr>
          <w:p w14:paraId="1E80AF11" w14:textId="77777777" w:rsidR="00185B15" w:rsidRPr="00247DE9" w:rsidRDefault="00185B15">
            <w:pPr>
              <w:suppressAutoHyphens/>
              <w:rPr>
                <w:sz w:val="24"/>
                <w:szCs w:val="24"/>
                <w:lang w:val="lt-LT" w:eastAsia="zh-CN"/>
              </w:rPr>
            </w:pPr>
            <w:r w:rsidRPr="00247DE9">
              <w:rPr>
                <w:sz w:val="24"/>
                <w:szCs w:val="24"/>
                <w:lang w:val="lt-LT"/>
              </w:rPr>
              <w:t>Eksploatacijos sąnaudos</w:t>
            </w:r>
          </w:p>
        </w:tc>
        <w:tc>
          <w:tcPr>
            <w:tcW w:w="1560" w:type="dxa"/>
            <w:tcBorders>
              <w:top w:val="nil"/>
              <w:left w:val="single" w:sz="4" w:space="0" w:color="000000"/>
              <w:bottom w:val="single" w:sz="4" w:space="0" w:color="000000"/>
              <w:right w:val="nil"/>
            </w:tcBorders>
            <w:vAlign w:val="bottom"/>
            <w:hideMark/>
          </w:tcPr>
          <w:p w14:paraId="49C8D337" w14:textId="77777777" w:rsidR="00185B15" w:rsidRPr="00247DE9" w:rsidRDefault="00185B15">
            <w:pPr>
              <w:suppressAutoHyphens/>
              <w:jc w:val="center"/>
              <w:rPr>
                <w:sz w:val="24"/>
                <w:szCs w:val="24"/>
                <w:lang w:val="en-US" w:eastAsia="zh-CN"/>
              </w:rPr>
            </w:pPr>
            <w:r w:rsidRPr="00247DE9">
              <w:rPr>
                <w:sz w:val="24"/>
                <w:szCs w:val="24"/>
              </w:rPr>
              <w:t>103.165</w:t>
            </w:r>
          </w:p>
        </w:tc>
        <w:tc>
          <w:tcPr>
            <w:tcW w:w="1275" w:type="dxa"/>
            <w:tcBorders>
              <w:top w:val="nil"/>
              <w:left w:val="single" w:sz="4" w:space="0" w:color="000000"/>
              <w:bottom w:val="single" w:sz="4" w:space="0" w:color="000000"/>
              <w:right w:val="nil"/>
            </w:tcBorders>
            <w:vAlign w:val="bottom"/>
            <w:hideMark/>
          </w:tcPr>
          <w:p w14:paraId="385BB15F" w14:textId="77777777" w:rsidR="00185B15" w:rsidRPr="00247DE9" w:rsidRDefault="00185B15">
            <w:pPr>
              <w:suppressAutoHyphens/>
              <w:jc w:val="center"/>
              <w:rPr>
                <w:sz w:val="24"/>
                <w:szCs w:val="24"/>
                <w:lang w:val="en-US" w:eastAsia="zh-CN"/>
              </w:rPr>
            </w:pPr>
            <w:r w:rsidRPr="00247DE9">
              <w:rPr>
                <w:sz w:val="24"/>
                <w:szCs w:val="24"/>
              </w:rPr>
              <w:t>56.591</w:t>
            </w:r>
          </w:p>
        </w:tc>
        <w:tc>
          <w:tcPr>
            <w:tcW w:w="1560" w:type="dxa"/>
            <w:tcBorders>
              <w:top w:val="nil"/>
              <w:left w:val="single" w:sz="4" w:space="0" w:color="000000"/>
              <w:bottom w:val="single" w:sz="4" w:space="0" w:color="000000"/>
              <w:right w:val="nil"/>
            </w:tcBorders>
            <w:vAlign w:val="bottom"/>
            <w:hideMark/>
          </w:tcPr>
          <w:p w14:paraId="30B05724" w14:textId="77777777" w:rsidR="00185B15" w:rsidRPr="00247DE9" w:rsidRDefault="00185B15">
            <w:pPr>
              <w:suppressAutoHyphens/>
              <w:jc w:val="center"/>
              <w:rPr>
                <w:sz w:val="24"/>
                <w:szCs w:val="24"/>
                <w:lang w:val="en-US" w:eastAsia="zh-CN"/>
              </w:rPr>
            </w:pPr>
            <w:r w:rsidRPr="00247DE9">
              <w:rPr>
                <w:b/>
                <w:bCs/>
                <w:sz w:val="24"/>
                <w:szCs w:val="24"/>
              </w:rPr>
              <w:t>-46.574</w:t>
            </w:r>
          </w:p>
        </w:tc>
        <w:tc>
          <w:tcPr>
            <w:tcW w:w="1882" w:type="dxa"/>
            <w:tcBorders>
              <w:top w:val="nil"/>
              <w:left w:val="single" w:sz="4" w:space="0" w:color="000000"/>
              <w:bottom w:val="single" w:sz="4" w:space="0" w:color="000000"/>
              <w:right w:val="single" w:sz="4" w:space="0" w:color="000000"/>
            </w:tcBorders>
            <w:vAlign w:val="bottom"/>
            <w:hideMark/>
          </w:tcPr>
          <w:p w14:paraId="780BBA72" w14:textId="77777777" w:rsidR="00185B15" w:rsidRPr="00247DE9" w:rsidRDefault="00185B15">
            <w:pPr>
              <w:suppressAutoHyphens/>
              <w:jc w:val="center"/>
              <w:rPr>
                <w:sz w:val="24"/>
                <w:szCs w:val="24"/>
                <w:lang w:val="en-US" w:eastAsia="zh-CN"/>
              </w:rPr>
            </w:pPr>
            <w:r w:rsidRPr="00247DE9">
              <w:rPr>
                <w:sz w:val="24"/>
                <w:szCs w:val="24"/>
              </w:rPr>
              <w:t>-45</w:t>
            </w:r>
          </w:p>
        </w:tc>
      </w:tr>
      <w:tr w:rsidR="00185B15" w:rsidRPr="00247DE9" w14:paraId="655E3C29" w14:textId="77777777" w:rsidTr="00185B15">
        <w:trPr>
          <w:trHeight w:val="360"/>
        </w:trPr>
        <w:tc>
          <w:tcPr>
            <w:tcW w:w="3417" w:type="dxa"/>
            <w:tcBorders>
              <w:top w:val="nil"/>
              <w:left w:val="single" w:sz="4" w:space="0" w:color="000000"/>
              <w:bottom w:val="single" w:sz="4" w:space="0" w:color="000000"/>
              <w:right w:val="nil"/>
            </w:tcBorders>
            <w:vAlign w:val="bottom"/>
            <w:hideMark/>
          </w:tcPr>
          <w:p w14:paraId="18D46B76" w14:textId="77777777" w:rsidR="00185B15" w:rsidRPr="00247DE9" w:rsidRDefault="00185B15">
            <w:pPr>
              <w:suppressAutoHyphens/>
              <w:rPr>
                <w:sz w:val="24"/>
                <w:szCs w:val="24"/>
                <w:lang w:val="lt-LT" w:eastAsia="zh-CN"/>
              </w:rPr>
            </w:pPr>
            <w:r w:rsidRPr="00247DE9">
              <w:rPr>
                <w:sz w:val="24"/>
                <w:szCs w:val="24"/>
                <w:lang w:val="lt-LT"/>
              </w:rPr>
              <w:t>Nusidėvėjimas</w:t>
            </w:r>
          </w:p>
        </w:tc>
        <w:tc>
          <w:tcPr>
            <w:tcW w:w="1560" w:type="dxa"/>
            <w:tcBorders>
              <w:top w:val="nil"/>
              <w:left w:val="single" w:sz="4" w:space="0" w:color="000000"/>
              <w:bottom w:val="single" w:sz="4" w:space="0" w:color="000000"/>
              <w:right w:val="nil"/>
            </w:tcBorders>
            <w:vAlign w:val="bottom"/>
            <w:hideMark/>
          </w:tcPr>
          <w:p w14:paraId="282B3FD9" w14:textId="77777777" w:rsidR="00185B15" w:rsidRPr="00247DE9" w:rsidRDefault="00185B15">
            <w:pPr>
              <w:suppressAutoHyphens/>
              <w:jc w:val="center"/>
              <w:rPr>
                <w:sz w:val="24"/>
                <w:szCs w:val="24"/>
                <w:lang w:val="en-US" w:eastAsia="zh-CN"/>
              </w:rPr>
            </w:pPr>
            <w:r w:rsidRPr="00247DE9">
              <w:rPr>
                <w:sz w:val="24"/>
                <w:szCs w:val="24"/>
              </w:rPr>
              <w:t>110.174</w:t>
            </w:r>
          </w:p>
        </w:tc>
        <w:tc>
          <w:tcPr>
            <w:tcW w:w="1275" w:type="dxa"/>
            <w:tcBorders>
              <w:top w:val="nil"/>
              <w:left w:val="single" w:sz="4" w:space="0" w:color="000000"/>
              <w:bottom w:val="single" w:sz="4" w:space="0" w:color="000000"/>
              <w:right w:val="nil"/>
            </w:tcBorders>
            <w:vAlign w:val="bottom"/>
            <w:hideMark/>
          </w:tcPr>
          <w:p w14:paraId="1E3D213B" w14:textId="77777777" w:rsidR="00185B15" w:rsidRPr="00247DE9" w:rsidRDefault="00185B15">
            <w:pPr>
              <w:suppressAutoHyphens/>
              <w:jc w:val="center"/>
              <w:rPr>
                <w:sz w:val="24"/>
                <w:szCs w:val="24"/>
                <w:lang w:val="en-US" w:eastAsia="zh-CN"/>
              </w:rPr>
            </w:pPr>
            <w:r w:rsidRPr="00247DE9">
              <w:rPr>
                <w:sz w:val="24"/>
                <w:szCs w:val="24"/>
              </w:rPr>
              <w:t>97.475</w:t>
            </w:r>
          </w:p>
        </w:tc>
        <w:tc>
          <w:tcPr>
            <w:tcW w:w="1560" w:type="dxa"/>
            <w:tcBorders>
              <w:top w:val="nil"/>
              <w:left w:val="single" w:sz="4" w:space="0" w:color="000000"/>
              <w:bottom w:val="single" w:sz="4" w:space="0" w:color="000000"/>
              <w:right w:val="nil"/>
            </w:tcBorders>
            <w:vAlign w:val="bottom"/>
            <w:hideMark/>
          </w:tcPr>
          <w:p w14:paraId="2A308D28" w14:textId="77777777" w:rsidR="00185B15" w:rsidRPr="00247DE9" w:rsidRDefault="00185B15">
            <w:pPr>
              <w:suppressAutoHyphens/>
              <w:jc w:val="center"/>
              <w:rPr>
                <w:sz w:val="24"/>
                <w:szCs w:val="24"/>
                <w:lang w:val="en-US" w:eastAsia="zh-CN"/>
              </w:rPr>
            </w:pPr>
            <w:r w:rsidRPr="00247DE9">
              <w:rPr>
                <w:b/>
                <w:bCs/>
                <w:sz w:val="24"/>
                <w:szCs w:val="24"/>
              </w:rPr>
              <w:t>-12.699</w:t>
            </w:r>
          </w:p>
        </w:tc>
        <w:tc>
          <w:tcPr>
            <w:tcW w:w="1882" w:type="dxa"/>
            <w:tcBorders>
              <w:top w:val="nil"/>
              <w:left w:val="single" w:sz="4" w:space="0" w:color="000000"/>
              <w:bottom w:val="single" w:sz="4" w:space="0" w:color="000000"/>
              <w:right w:val="single" w:sz="4" w:space="0" w:color="000000"/>
            </w:tcBorders>
            <w:vAlign w:val="bottom"/>
            <w:hideMark/>
          </w:tcPr>
          <w:p w14:paraId="23A3FE44" w14:textId="77777777" w:rsidR="00185B15" w:rsidRPr="00247DE9" w:rsidRDefault="00185B15">
            <w:pPr>
              <w:suppressAutoHyphens/>
              <w:jc w:val="center"/>
              <w:rPr>
                <w:sz w:val="24"/>
                <w:szCs w:val="24"/>
                <w:lang w:val="en-US" w:eastAsia="zh-CN"/>
              </w:rPr>
            </w:pPr>
            <w:r w:rsidRPr="00247DE9">
              <w:rPr>
                <w:sz w:val="24"/>
                <w:szCs w:val="24"/>
              </w:rPr>
              <w:t>-12</w:t>
            </w:r>
          </w:p>
        </w:tc>
      </w:tr>
      <w:tr w:rsidR="00185B15" w:rsidRPr="00247DE9" w14:paraId="0CF0FC03" w14:textId="77777777" w:rsidTr="00185B15">
        <w:trPr>
          <w:trHeight w:val="360"/>
        </w:trPr>
        <w:tc>
          <w:tcPr>
            <w:tcW w:w="3417" w:type="dxa"/>
            <w:tcBorders>
              <w:top w:val="nil"/>
              <w:left w:val="single" w:sz="4" w:space="0" w:color="000000"/>
              <w:bottom w:val="single" w:sz="4" w:space="0" w:color="000000"/>
              <w:right w:val="nil"/>
            </w:tcBorders>
            <w:vAlign w:val="bottom"/>
            <w:hideMark/>
          </w:tcPr>
          <w:p w14:paraId="6B36D958" w14:textId="77777777" w:rsidR="00185B15" w:rsidRPr="00247DE9" w:rsidRDefault="00185B15">
            <w:pPr>
              <w:suppressAutoHyphens/>
              <w:rPr>
                <w:sz w:val="24"/>
                <w:szCs w:val="24"/>
                <w:lang w:val="lt-LT" w:eastAsia="zh-CN"/>
              </w:rPr>
            </w:pPr>
            <w:r w:rsidRPr="00247DE9">
              <w:rPr>
                <w:sz w:val="24"/>
                <w:szCs w:val="24"/>
                <w:lang w:val="lt-LT"/>
              </w:rPr>
              <w:t>Draudimo sąnaudos</w:t>
            </w:r>
          </w:p>
        </w:tc>
        <w:tc>
          <w:tcPr>
            <w:tcW w:w="1560" w:type="dxa"/>
            <w:tcBorders>
              <w:top w:val="nil"/>
              <w:left w:val="single" w:sz="4" w:space="0" w:color="000000"/>
              <w:bottom w:val="single" w:sz="4" w:space="0" w:color="000000"/>
              <w:right w:val="nil"/>
            </w:tcBorders>
            <w:vAlign w:val="bottom"/>
            <w:hideMark/>
          </w:tcPr>
          <w:p w14:paraId="323CE6C0" w14:textId="77777777" w:rsidR="00185B15" w:rsidRPr="00247DE9" w:rsidRDefault="00185B15">
            <w:pPr>
              <w:suppressAutoHyphens/>
              <w:jc w:val="center"/>
              <w:rPr>
                <w:sz w:val="24"/>
                <w:szCs w:val="24"/>
                <w:lang w:val="en-US" w:eastAsia="zh-CN"/>
              </w:rPr>
            </w:pPr>
            <w:r w:rsidRPr="00247DE9">
              <w:rPr>
                <w:sz w:val="24"/>
                <w:szCs w:val="24"/>
              </w:rPr>
              <w:t>16.789</w:t>
            </w:r>
          </w:p>
        </w:tc>
        <w:tc>
          <w:tcPr>
            <w:tcW w:w="1275" w:type="dxa"/>
            <w:tcBorders>
              <w:top w:val="nil"/>
              <w:left w:val="single" w:sz="4" w:space="0" w:color="000000"/>
              <w:bottom w:val="single" w:sz="4" w:space="0" w:color="000000"/>
              <w:right w:val="nil"/>
            </w:tcBorders>
            <w:vAlign w:val="bottom"/>
            <w:hideMark/>
          </w:tcPr>
          <w:p w14:paraId="656D2F3C" w14:textId="77777777" w:rsidR="00185B15" w:rsidRPr="00247DE9" w:rsidRDefault="00185B15">
            <w:pPr>
              <w:suppressAutoHyphens/>
              <w:jc w:val="center"/>
              <w:rPr>
                <w:sz w:val="24"/>
                <w:szCs w:val="24"/>
                <w:lang w:val="en-US" w:eastAsia="zh-CN"/>
              </w:rPr>
            </w:pPr>
            <w:r w:rsidRPr="00247DE9">
              <w:rPr>
                <w:sz w:val="24"/>
                <w:szCs w:val="24"/>
              </w:rPr>
              <w:t>13.452</w:t>
            </w:r>
          </w:p>
        </w:tc>
        <w:tc>
          <w:tcPr>
            <w:tcW w:w="1560" w:type="dxa"/>
            <w:tcBorders>
              <w:top w:val="nil"/>
              <w:left w:val="single" w:sz="4" w:space="0" w:color="000000"/>
              <w:bottom w:val="single" w:sz="4" w:space="0" w:color="000000"/>
              <w:right w:val="nil"/>
            </w:tcBorders>
            <w:vAlign w:val="bottom"/>
            <w:hideMark/>
          </w:tcPr>
          <w:p w14:paraId="28BA08AF" w14:textId="77777777" w:rsidR="00185B15" w:rsidRPr="00247DE9" w:rsidRDefault="00185B15">
            <w:pPr>
              <w:suppressAutoHyphens/>
              <w:jc w:val="center"/>
              <w:rPr>
                <w:sz w:val="24"/>
                <w:szCs w:val="24"/>
                <w:lang w:val="en-US" w:eastAsia="zh-CN"/>
              </w:rPr>
            </w:pPr>
            <w:r w:rsidRPr="00247DE9">
              <w:rPr>
                <w:b/>
                <w:bCs/>
                <w:sz w:val="24"/>
                <w:szCs w:val="24"/>
              </w:rPr>
              <w:t>-3.337</w:t>
            </w:r>
          </w:p>
        </w:tc>
        <w:tc>
          <w:tcPr>
            <w:tcW w:w="1882" w:type="dxa"/>
            <w:tcBorders>
              <w:top w:val="nil"/>
              <w:left w:val="single" w:sz="4" w:space="0" w:color="000000"/>
              <w:bottom w:val="single" w:sz="4" w:space="0" w:color="000000"/>
              <w:right w:val="single" w:sz="4" w:space="0" w:color="000000"/>
            </w:tcBorders>
            <w:vAlign w:val="bottom"/>
            <w:hideMark/>
          </w:tcPr>
          <w:p w14:paraId="03EBED08" w14:textId="77777777" w:rsidR="00185B15" w:rsidRPr="00247DE9" w:rsidRDefault="00185B15">
            <w:pPr>
              <w:suppressAutoHyphens/>
              <w:jc w:val="center"/>
              <w:rPr>
                <w:sz w:val="24"/>
                <w:szCs w:val="24"/>
                <w:lang w:val="en-US" w:eastAsia="zh-CN"/>
              </w:rPr>
            </w:pPr>
            <w:r w:rsidRPr="00247DE9">
              <w:rPr>
                <w:sz w:val="24"/>
                <w:szCs w:val="24"/>
              </w:rPr>
              <w:t>-20</w:t>
            </w:r>
          </w:p>
        </w:tc>
      </w:tr>
      <w:tr w:rsidR="00185B15" w:rsidRPr="00247DE9" w14:paraId="50663BC1" w14:textId="77777777" w:rsidTr="00185B15">
        <w:trPr>
          <w:trHeight w:val="360"/>
        </w:trPr>
        <w:tc>
          <w:tcPr>
            <w:tcW w:w="3417" w:type="dxa"/>
            <w:tcBorders>
              <w:top w:val="nil"/>
              <w:left w:val="single" w:sz="4" w:space="0" w:color="000000"/>
              <w:bottom w:val="single" w:sz="4" w:space="0" w:color="000000"/>
              <w:right w:val="nil"/>
            </w:tcBorders>
            <w:vAlign w:val="bottom"/>
            <w:hideMark/>
          </w:tcPr>
          <w:p w14:paraId="1400CA19" w14:textId="77777777" w:rsidR="00185B15" w:rsidRPr="00247DE9" w:rsidRDefault="00185B15">
            <w:pPr>
              <w:suppressAutoHyphens/>
              <w:rPr>
                <w:sz w:val="24"/>
                <w:szCs w:val="24"/>
                <w:lang w:val="lt-LT" w:eastAsia="zh-CN"/>
              </w:rPr>
            </w:pPr>
            <w:r w:rsidRPr="00247DE9">
              <w:rPr>
                <w:sz w:val="24"/>
                <w:szCs w:val="24"/>
                <w:lang w:val="lt-LT"/>
              </w:rPr>
              <w:t>Mokesčiai</w:t>
            </w:r>
          </w:p>
        </w:tc>
        <w:tc>
          <w:tcPr>
            <w:tcW w:w="1560" w:type="dxa"/>
            <w:tcBorders>
              <w:top w:val="nil"/>
              <w:left w:val="single" w:sz="4" w:space="0" w:color="000000"/>
              <w:bottom w:val="single" w:sz="4" w:space="0" w:color="000000"/>
              <w:right w:val="nil"/>
            </w:tcBorders>
            <w:vAlign w:val="bottom"/>
            <w:hideMark/>
          </w:tcPr>
          <w:p w14:paraId="7D55CDBC" w14:textId="77777777" w:rsidR="00185B15" w:rsidRPr="00247DE9" w:rsidRDefault="00185B15">
            <w:pPr>
              <w:suppressAutoHyphens/>
              <w:jc w:val="center"/>
              <w:rPr>
                <w:sz w:val="24"/>
                <w:szCs w:val="24"/>
                <w:lang w:val="en-US" w:eastAsia="zh-CN"/>
              </w:rPr>
            </w:pPr>
            <w:r w:rsidRPr="00247DE9">
              <w:rPr>
                <w:sz w:val="24"/>
                <w:szCs w:val="24"/>
              </w:rPr>
              <w:t>19.096</w:t>
            </w:r>
          </w:p>
        </w:tc>
        <w:tc>
          <w:tcPr>
            <w:tcW w:w="1275" w:type="dxa"/>
            <w:tcBorders>
              <w:top w:val="nil"/>
              <w:left w:val="single" w:sz="4" w:space="0" w:color="000000"/>
              <w:bottom w:val="single" w:sz="4" w:space="0" w:color="000000"/>
              <w:right w:val="nil"/>
            </w:tcBorders>
            <w:vAlign w:val="bottom"/>
            <w:hideMark/>
          </w:tcPr>
          <w:p w14:paraId="5FC2AF63" w14:textId="77777777" w:rsidR="00185B15" w:rsidRPr="00247DE9" w:rsidRDefault="00185B15">
            <w:pPr>
              <w:suppressAutoHyphens/>
              <w:jc w:val="center"/>
              <w:rPr>
                <w:sz w:val="24"/>
                <w:szCs w:val="24"/>
                <w:lang w:val="en-US" w:eastAsia="zh-CN"/>
              </w:rPr>
            </w:pPr>
            <w:r w:rsidRPr="00247DE9">
              <w:rPr>
                <w:sz w:val="24"/>
                <w:szCs w:val="24"/>
              </w:rPr>
              <w:t>12.550</w:t>
            </w:r>
          </w:p>
        </w:tc>
        <w:tc>
          <w:tcPr>
            <w:tcW w:w="1560" w:type="dxa"/>
            <w:tcBorders>
              <w:top w:val="nil"/>
              <w:left w:val="single" w:sz="4" w:space="0" w:color="000000"/>
              <w:bottom w:val="single" w:sz="4" w:space="0" w:color="000000"/>
              <w:right w:val="nil"/>
            </w:tcBorders>
            <w:vAlign w:val="bottom"/>
            <w:hideMark/>
          </w:tcPr>
          <w:p w14:paraId="4ACF602D" w14:textId="77777777" w:rsidR="00185B15" w:rsidRPr="00247DE9" w:rsidRDefault="00185B15">
            <w:pPr>
              <w:suppressAutoHyphens/>
              <w:jc w:val="center"/>
              <w:rPr>
                <w:sz w:val="24"/>
                <w:szCs w:val="24"/>
                <w:lang w:val="en-US" w:eastAsia="zh-CN"/>
              </w:rPr>
            </w:pPr>
            <w:r w:rsidRPr="00247DE9">
              <w:rPr>
                <w:b/>
                <w:bCs/>
                <w:sz w:val="24"/>
                <w:szCs w:val="24"/>
              </w:rPr>
              <w:t>-6.546</w:t>
            </w:r>
          </w:p>
        </w:tc>
        <w:tc>
          <w:tcPr>
            <w:tcW w:w="1882" w:type="dxa"/>
            <w:tcBorders>
              <w:top w:val="nil"/>
              <w:left w:val="single" w:sz="4" w:space="0" w:color="000000"/>
              <w:bottom w:val="single" w:sz="4" w:space="0" w:color="000000"/>
              <w:right w:val="single" w:sz="4" w:space="0" w:color="000000"/>
            </w:tcBorders>
            <w:vAlign w:val="bottom"/>
            <w:hideMark/>
          </w:tcPr>
          <w:p w14:paraId="10A977D1" w14:textId="77777777" w:rsidR="00185B15" w:rsidRPr="00247DE9" w:rsidRDefault="00185B15">
            <w:pPr>
              <w:suppressAutoHyphens/>
              <w:jc w:val="center"/>
              <w:rPr>
                <w:sz w:val="24"/>
                <w:szCs w:val="24"/>
                <w:lang w:val="en-US" w:eastAsia="zh-CN"/>
              </w:rPr>
            </w:pPr>
            <w:r w:rsidRPr="00247DE9">
              <w:rPr>
                <w:sz w:val="24"/>
                <w:szCs w:val="24"/>
              </w:rPr>
              <w:t>-34</w:t>
            </w:r>
          </w:p>
        </w:tc>
      </w:tr>
      <w:tr w:rsidR="00185B15" w:rsidRPr="00247DE9" w14:paraId="57EBC8EE" w14:textId="77777777" w:rsidTr="00185B15">
        <w:trPr>
          <w:trHeight w:val="360"/>
        </w:trPr>
        <w:tc>
          <w:tcPr>
            <w:tcW w:w="3417" w:type="dxa"/>
            <w:tcBorders>
              <w:top w:val="nil"/>
              <w:left w:val="single" w:sz="4" w:space="0" w:color="000000"/>
              <w:bottom w:val="single" w:sz="4" w:space="0" w:color="000000"/>
              <w:right w:val="nil"/>
            </w:tcBorders>
            <w:vAlign w:val="bottom"/>
            <w:hideMark/>
          </w:tcPr>
          <w:p w14:paraId="7D0F491B" w14:textId="77777777" w:rsidR="00185B15" w:rsidRPr="00247DE9" w:rsidRDefault="00185B15">
            <w:pPr>
              <w:suppressAutoHyphens/>
              <w:rPr>
                <w:sz w:val="24"/>
                <w:szCs w:val="24"/>
                <w:lang w:val="lt-LT" w:eastAsia="zh-CN"/>
              </w:rPr>
            </w:pPr>
            <w:r w:rsidRPr="00247DE9">
              <w:rPr>
                <w:sz w:val="24"/>
                <w:szCs w:val="24"/>
                <w:lang w:val="lt-LT"/>
              </w:rPr>
              <w:t>Komunalinės sąnaudos</w:t>
            </w:r>
          </w:p>
        </w:tc>
        <w:tc>
          <w:tcPr>
            <w:tcW w:w="1560" w:type="dxa"/>
            <w:tcBorders>
              <w:top w:val="nil"/>
              <w:left w:val="single" w:sz="4" w:space="0" w:color="000000"/>
              <w:bottom w:val="single" w:sz="4" w:space="0" w:color="000000"/>
              <w:right w:val="nil"/>
            </w:tcBorders>
            <w:vAlign w:val="bottom"/>
            <w:hideMark/>
          </w:tcPr>
          <w:p w14:paraId="4E748386" w14:textId="77777777" w:rsidR="00185B15" w:rsidRPr="00247DE9" w:rsidRDefault="00185B15">
            <w:pPr>
              <w:suppressAutoHyphens/>
              <w:jc w:val="center"/>
              <w:rPr>
                <w:sz w:val="24"/>
                <w:szCs w:val="24"/>
                <w:lang w:val="en-US" w:eastAsia="zh-CN"/>
              </w:rPr>
            </w:pPr>
            <w:r w:rsidRPr="00247DE9">
              <w:rPr>
                <w:sz w:val="24"/>
                <w:szCs w:val="24"/>
              </w:rPr>
              <w:t>30.097</w:t>
            </w:r>
          </w:p>
        </w:tc>
        <w:tc>
          <w:tcPr>
            <w:tcW w:w="1275" w:type="dxa"/>
            <w:tcBorders>
              <w:top w:val="nil"/>
              <w:left w:val="single" w:sz="4" w:space="0" w:color="000000"/>
              <w:bottom w:val="single" w:sz="4" w:space="0" w:color="000000"/>
              <w:right w:val="nil"/>
            </w:tcBorders>
            <w:vAlign w:val="bottom"/>
            <w:hideMark/>
          </w:tcPr>
          <w:p w14:paraId="66E6891D" w14:textId="77777777" w:rsidR="00185B15" w:rsidRPr="00247DE9" w:rsidRDefault="00185B15">
            <w:pPr>
              <w:suppressAutoHyphens/>
              <w:jc w:val="center"/>
              <w:rPr>
                <w:sz w:val="24"/>
                <w:szCs w:val="24"/>
                <w:lang w:val="en-US" w:eastAsia="zh-CN"/>
              </w:rPr>
            </w:pPr>
            <w:r w:rsidRPr="00247DE9">
              <w:rPr>
                <w:sz w:val="24"/>
                <w:szCs w:val="24"/>
              </w:rPr>
              <w:t>25.223</w:t>
            </w:r>
          </w:p>
        </w:tc>
        <w:tc>
          <w:tcPr>
            <w:tcW w:w="1560" w:type="dxa"/>
            <w:tcBorders>
              <w:top w:val="nil"/>
              <w:left w:val="single" w:sz="4" w:space="0" w:color="000000"/>
              <w:bottom w:val="single" w:sz="4" w:space="0" w:color="000000"/>
              <w:right w:val="nil"/>
            </w:tcBorders>
            <w:vAlign w:val="bottom"/>
            <w:hideMark/>
          </w:tcPr>
          <w:p w14:paraId="35270AC8" w14:textId="77777777" w:rsidR="00185B15" w:rsidRPr="00247DE9" w:rsidRDefault="00185B15">
            <w:pPr>
              <w:suppressAutoHyphens/>
              <w:jc w:val="center"/>
              <w:rPr>
                <w:sz w:val="24"/>
                <w:szCs w:val="24"/>
                <w:lang w:val="en-US" w:eastAsia="zh-CN"/>
              </w:rPr>
            </w:pPr>
            <w:r w:rsidRPr="00247DE9">
              <w:rPr>
                <w:b/>
                <w:bCs/>
                <w:sz w:val="24"/>
                <w:szCs w:val="24"/>
              </w:rPr>
              <w:t>-4.874</w:t>
            </w:r>
          </w:p>
        </w:tc>
        <w:tc>
          <w:tcPr>
            <w:tcW w:w="1882" w:type="dxa"/>
            <w:tcBorders>
              <w:top w:val="nil"/>
              <w:left w:val="single" w:sz="4" w:space="0" w:color="000000"/>
              <w:bottom w:val="single" w:sz="4" w:space="0" w:color="000000"/>
              <w:right w:val="single" w:sz="4" w:space="0" w:color="000000"/>
            </w:tcBorders>
            <w:vAlign w:val="bottom"/>
            <w:hideMark/>
          </w:tcPr>
          <w:p w14:paraId="35D56E0D" w14:textId="77777777" w:rsidR="00185B15" w:rsidRPr="00247DE9" w:rsidRDefault="00185B15">
            <w:pPr>
              <w:suppressAutoHyphens/>
              <w:jc w:val="center"/>
              <w:rPr>
                <w:sz w:val="24"/>
                <w:szCs w:val="24"/>
                <w:lang w:val="en-US" w:eastAsia="zh-CN"/>
              </w:rPr>
            </w:pPr>
            <w:r w:rsidRPr="00247DE9">
              <w:rPr>
                <w:sz w:val="24"/>
                <w:szCs w:val="24"/>
              </w:rPr>
              <w:t>-16</w:t>
            </w:r>
          </w:p>
        </w:tc>
      </w:tr>
      <w:tr w:rsidR="00185B15" w:rsidRPr="00247DE9" w14:paraId="02A1D571" w14:textId="77777777" w:rsidTr="00185B15">
        <w:trPr>
          <w:trHeight w:val="360"/>
        </w:trPr>
        <w:tc>
          <w:tcPr>
            <w:tcW w:w="3417" w:type="dxa"/>
            <w:tcBorders>
              <w:top w:val="nil"/>
              <w:left w:val="single" w:sz="4" w:space="0" w:color="000000"/>
              <w:bottom w:val="single" w:sz="4" w:space="0" w:color="000000"/>
              <w:right w:val="nil"/>
            </w:tcBorders>
            <w:vAlign w:val="bottom"/>
            <w:hideMark/>
          </w:tcPr>
          <w:p w14:paraId="0B8834FF" w14:textId="77777777" w:rsidR="00185B15" w:rsidRPr="00247DE9" w:rsidRDefault="00185B15">
            <w:pPr>
              <w:suppressAutoHyphens/>
              <w:rPr>
                <w:sz w:val="24"/>
                <w:szCs w:val="24"/>
                <w:lang w:val="lt-LT" w:eastAsia="zh-CN"/>
              </w:rPr>
            </w:pPr>
            <w:r w:rsidRPr="00247DE9">
              <w:rPr>
                <w:sz w:val="24"/>
                <w:szCs w:val="24"/>
                <w:lang w:val="lt-LT"/>
              </w:rPr>
              <w:t>Kitų stočių rinkliavos</w:t>
            </w:r>
          </w:p>
        </w:tc>
        <w:tc>
          <w:tcPr>
            <w:tcW w:w="1560" w:type="dxa"/>
            <w:tcBorders>
              <w:top w:val="nil"/>
              <w:left w:val="single" w:sz="4" w:space="0" w:color="000000"/>
              <w:bottom w:val="single" w:sz="4" w:space="0" w:color="000000"/>
              <w:right w:val="nil"/>
            </w:tcBorders>
            <w:vAlign w:val="bottom"/>
            <w:hideMark/>
          </w:tcPr>
          <w:p w14:paraId="0365C8A6" w14:textId="77777777" w:rsidR="00185B15" w:rsidRPr="00247DE9" w:rsidRDefault="00185B15">
            <w:pPr>
              <w:suppressAutoHyphens/>
              <w:jc w:val="center"/>
              <w:rPr>
                <w:sz w:val="24"/>
                <w:szCs w:val="24"/>
                <w:lang w:val="en-US" w:eastAsia="zh-CN"/>
              </w:rPr>
            </w:pPr>
            <w:r w:rsidRPr="00247DE9">
              <w:rPr>
                <w:sz w:val="24"/>
                <w:szCs w:val="24"/>
              </w:rPr>
              <w:t>54.125</w:t>
            </w:r>
          </w:p>
        </w:tc>
        <w:tc>
          <w:tcPr>
            <w:tcW w:w="1275" w:type="dxa"/>
            <w:tcBorders>
              <w:top w:val="nil"/>
              <w:left w:val="single" w:sz="4" w:space="0" w:color="000000"/>
              <w:bottom w:val="single" w:sz="4" w:space="0" w:color="000000"/>
              <w:right w:val="nil"/>
            </w:tcBorders>
            <w:vAlign w:val="bottom"/>
            <w:hideMark/>
          </w:tcPr>
          <w:p w14:paraId="72CF29A5" w14:textId="77777777" w:rsidR="00185B15" w:rsidRPr="00247DE9" w:rsidRDefault="00185B15">
            <w:pPr>
              <w:suppressAutoHyphens/>
              <w:jc w:val="center"/>
              <w:rPr>
                <w:sz w:val="24"/>
                <w:szCs w:val="24"/>
                <w:lang w:val="en-US" w:eastAsia="zh-CN"/>
              </w:rPr>
            </w:pPr>
            <w:r w:rsidRPr="00247DE9">
              <w:rPr>
                <w:sz w:val="24"/>
                <w:szCs w:val="24"/>
              </w:rPr>
              <w:t>25.478</w:t>
            </w:r>
          </w:p>
        </w:tc>
        <w:tc>
          <w:tcPr>
            <w:tcW w:w="1560" w:type="dxa"/>
            <w:tcBorders>
              <w:top w:val="nil"/>
              <w:left w:val="single" w:sz="4" w:space="0" w:color="000000"/>
              <w:bottom w:val="single" w:sz="4" w:space="0" w:color="000000"/>
              <w:right w:val="nil"/>
            </w:tcBorders>
            <w:vAlign w:val="bottom"/>
            <w:hideMark/>
          </w:tcPr>
          <w:p w14:paraId="107D98A1" w14:textId="77777777" w:rsidR="00185B15" w:rsidRPr="00247DE9" w:rsidRDefault="00185B15">
            <w:pPr>
              <w:suppressAutoHyphens/>
              <w:jc w:val="center"/>
              <w:rPr>
                <w:sz w:val="24"/>
                <w:szCs w:val="24"/>
                <w:lang w:val="en-US" w:eastAsia="zh-CN"/>
              </w:rPr>
            </w:pPr>
            <w:r w:rsidRPr="00247DE9">
              <w:rPr>
                <w:b/>
                <w:bCs/>
                <w:sz w:val="24"/>
                <w:szCs w:val="24"/>
              </w:rPr>
              <w:t>-28.647</w:t>
            </w:r>
          </w:p>
        </w:tc>
        <w:tc>
          <w:tcPr>
            <w:tcW w:w="1882" w:type="dxa"/>
            <w:tcBorders>
              <w:top w:val="nil"/>
              <w:left w:val="single" w:sz="4" w:space="0" w:color="000000"/>
              <w:bottom w:val="single" w:sz="4" w:space="0" w:color="000000"/>
              <w:right w:val="single" w:sz="4" w:space="0" w:color="000000"/>
            </w:tcBorders>
            <w:vAlign w:val="bottom"/>
            <w:hideMark/>
          </w:tcPr>
          <w:p w14:paraId="3D550B5D" w14:textId="77777777" w:rsidR="00185B15" w:rsidRPr="00247DE9" w:rsidRDefault="00185B15">
            <w:pPr>
              <w:suppressAutoHyphens/>
              <w:jc w:val="center"/>
              <w:rPr>
                <w:sz w:val="24"/>
                <w:szCs w:val="24"/>
                <w:lang w:val="en-US" w:eastAsia="zh-CN"/>
              </w:rPr>
            </w:pPr>
            <w:r w:rsidRPr="00247DE9">
              <w:rPr>
                <w:sz w:val="24"/>
                <w:szCs w:val="24"/>
              </w:rPr>
              <w:t>-53</w:t>
            </w:r>
          </w:p>
        </w:tc>
      </w:tr>
      <w:tr w:rsidR="00185B15" w:rsidRPr="00247DE9" w14:paraId="47222888" w14:textId="77777777" w:rsidTr="00185B15">
        <w:trPr>
          <w:trHeight w:val="360"/>
        </w:trPr>
        <w:tc>
          <w:tcPr>
            <w:tcW w:w="3417" w:type="dxa"/>
            <w:tcBorders>
              <w:top w:val="nil"/>
              <w:left w:val="single" w:sz="4" w:space="0" w:color="000000"/>
              <w:bottom w:val="single" w:sz="4" w:space="0" w:color="000000"/>
              <w:right w:val="nil"/>
            </w:tcBorders>
            <w:vAlign w:val="bottom"/>
            <w:hideMark/>
          </w:tcPr>
          <w:p w14:paraId="1585FDAF" w14:textId="77777777" w:rsidR="00185B15" w:rsidRPr="00247DE9" w:rsidRDefault="00185B15">
            <w:pPr>
              <w:suppressAutoHyphens/>
              <w:rPr>
                <w:sz w:val="24"/>
                <w:szCs w:val="24"/>
                <w:lang w:val="lt-LT" w:eastAsia="zh-CN"/>
              </w:rPr>
            </w:pPr>
            <w:r w:rsidRPr="00247DE9">
              <w:rPr>
                <w:sz w:val="24"/>
                <w:szCs w:val="24"/>
                <w:lang w:val="lt-LT"/>
              </w:rPr>
              <w:t>Palūkanos</w:t>
            </w:r>
          </w:p>
        </w:tc>
        <w:tc>
          <w:tcPr>
            <w:tcW w:w="1560" w:type="dxa"/>
            <w:tcBorders>
              <w:top w:val="nil"/>
              <w:left w:val="single" w:sz="4" w:space="0" w:color="000000"/>
              <w:bottom w:val="single" w:sz="4" w:space="0" w:color="000000"/>
              <w:right w:val="nil"/>
            </w:tcBorders>
            <w:vAlign w:val="bottom"/>
            <w:hideMark/>
          </w:tcPr>
          <w:p w14:paraId="5061EDCE" w14:textId="77777777" w:rsidR="00185B15" w:rsidRPr="00247DE9" w:rsidRDefault="00185B15">
            <w:pPr>
              <w:suppressAutoHyphens/>
              <w:jc w:val="center"/>
              <w:rPr>
                <w:sz w:val="24"/>
                <w:szCs w:val="24"/>
                <w:lang w:val="en-US" w:eastAsia="zh-CN"/>
              </w:rPr>
            </w:pPr>
            <w:r w:rsidRPr="00247DE9">
              <w:rPr>
                <w:sz w:val="24"/>
                <w:szCs w:val="24"/>
              </w:rPr>
              <w:t>6.623</w:t>
            </w:r>
          </w:p>
        </w:tc>
        <w:tc>
          <w:tcPr>
            <w:tcW w:w="1275" w:type="dxa"/>
            <w:tcBorders>
              <w:top w:val="nil"/>
              <w:left w:val="single" w:sz="4" w:space="0" w:color="000000"/>
              <w:bottom w:val="single" w:sz="4" w:space="0" w:color="000000"/>
              <w:right w:val="nil"/>
            </w:tcBorders>
            <w:vAlign w:val="bottom"/>
            <w:hideMark/>
          </w:tcPr>
          <w:p w14:paraId="57ECD066" w14:textId="77777777" w:rsidR="00185B15" w:rsidRPr="00247DE9" w:rsidRDefault="00185B15">
            <w:pPr>
              <w:suppressAutoHyphens/>
              <w:jc w:val="center"/>
              <w:rPr>
                <w:sz w:val="24"/>
                <w:szCs w:val="24"/>
                <w:lang w:val="en-US" w:eastAsia="zh-CN"/>
              </w:rPr>
            </w:pPr>
            <w:r w:rsidRPr="00247DE9">
              <w:rPr>
                <w:sz w:val="24"/>
                <w:szCs w:val="24"/>
              </w:rPr>
              <w:t>4.840</w:t>
            </w:r>
          </w:p>
        </w:tc>
        <w:tc>
          <w:tcPr>
            <w:tcW w:w="1560" w:type="dxa"/>
            <w:tcBorders>
              <w:top w:val="nil"/>
              <w:left w:val="single" w:sz="4" w:space="0" w:color="000000"/>
              <w:bottom w:val="single" w:sz="4" w:space="0" w:color="000000"/>
              <w:right w:val="nil"/>
            </w:tcBorders>
            <w:vAlign w:val="bottom"/>
            <w:hideMark/>
          </w:tcPr>
          <w:p w14:paraId="3303CDB8" w14:textId="77777777" w:rsidR="00185B15" w:rsidRPr="00247DE9" w:rsidRDefault="00185B15">
            <w:pPr>
              <w:suppressAutoHyphens/>
              <w:jc w:val="center"/>
              <w:rPr>
                <w:sz w:val="24"/>
                <w:szCs w:val="24"/>
                <w:lang w:val="en-US" w:eastAsia="zh-CN"/>
              </w:rPr>
            </w:pPr>
            <w:r w:rsidRPr="00247DE9">
              <w:rPr>
                <w:b/>
                <w:bCs/>
                <w:sz w:val="24"/>
                <w:szCs w:val="24"/>
              </w:rPr>
              <w:t>-1.783</w:t>
            </w:r>
          </w:p>
        </w:tc>
        <w:tc>
          <w:tcPr>
            <w:tcW w:w="1882" w:type="dxa"/>
            <w:tcBorders>
              <w:top w:val="nil"/>
              <w:left w:val="single" w:sz="4" w:space="0" w:color="000000"/>
              <w:bottom w:val="single" w:sz="4" w:space="0" w:color="000000"/>
              <w:right w:val="single" w:sz="4" w:space="0" w:color="000000"/>
            </w:tcBorders>
            <w:vAlign w:val="bottom"/>
            <w:hideMark/>
          </w:tcPr>
          <w:p w14:paraId="33F7DE91" w14:textId="77777777" w:rsidR="00185B15" w:rsidRPr="00247DE9" w:rsidRDefault="00185B15">
            <w:pPr>
              <w:suppressAutoHyphens/>
              <w:jc w:val="center"/>
              <w:rPr>
                <w:sz w:val="24"/>
                <w:szCs w:val="24"/>
                <w:lang w:val="en-US" w:eastAsia="zh-CN"/>
              </w:rPr>
            </w:pPr>
            <w:r w:rsidRPr="00247DE9">
              <w:rPr>
                <w:sz w:val="24"/>
                <w:szCs w:val="24"/>
              </w:rPr>
              <w:t>-27</w:t>
            </w:r>
          </w:p>
        </w:tc>
      </w:tr>
      <w:tr w:rsidR="00185B15" w:rsidRPr="00247DE9" w14:paraId="20D5DA12" w14:textId="77777777" w:rsidTr="00185B15">
        <w:trPr>
          <w:trHeight w:val="360"/>
        </w:trPr>
        <w:tc>
          <w:tcPr>
            <w:tcW w:w="3417" w:type="dxa"/>
            <w:tcBorders>
              <w:top w:val="nil"/>
              <w:left w:val="single" w:sz="4" w:space="0" w:color="000000"/>
              <w:bottom w:val="single" w:sz="4" w:space="0" w:color="000000"/>
              <w:right w:val="nil"/>
            </w:tcBorders>
            <w:vAlign w:val="bottom"/>
            <w:hideMark/>
          </w:tcPr>
          <w:p w14:paraId="0479CAAB" w14:textId="77777777" w:rsidR="00185B15" w:rsidRPr="00247DE9" w:rsidRDefault="00185B15">
            <w:pPr>
              <w:suppressAutoHyphens/>
              <w:rPr>
                <w:sz w:val="24"/>
                <w:szCs w:val="24"/>
                <w:lang w:val="lt-LT" w:eastAsia="zh-CN"/>
              </w:rPr>
            </w:pPr>
            <w:r w:rsidRPr="00247DE9">
              <w:rPr>
                <w:sz w:val="24"/>
                <w:szCs w:val="24"/>
                <w:lang w:val="lt-LT"/>
              </w:rPr>
              <w:t>Kitos sąnaudos</w:t>
            </w:r>
          </w:p>
        </w:tc>
        <w:tc>
          <w:tcPr>
            <w:tcW w:w="1560" w:type="dxa"/>
            <w:tcBorders>
              <w:top w:val="nil"/>
              <w:left w:val="single" w:sz="4" w:space="0" w:color="000000"/>
              <w:bottom w:val="single" w:sz="4" w:space="0" w:color="000000"/>
              <w:right w:val="nil"/>
            </w:tcBorders>
            <w:vAlign w:val="bottom"/>
            <w:hideMark/>
          </w:tcPr>
          <w:p w14:paraId="4F60ACC1" w14:textId="77777777" w:rsidR="00185B15" w:rsidRPr="00247DE9" w:rsidRDefault="00185B15">
            <w:pPr>
              <w:suppressAutoHyphens/>
              <w:jc w:val="center"/>
              <w:rPr>
                <w:sz w:val="24"/>
                <w:szCs w:val="24"/>
                <w:lang w:val="en-US" w:eastAsia="zh-CN"/>
              </w:rPr>
            </w:pPr>
            <w:r w:rsidRPr="00247DE9">
              <w:rPr>
                <w:sz w:val="24"/>
                <w:szCs w:val="24"/>
              </w:rPr>
              <w:t>48.445</w:t>
            </w:r>
          </w:p>
        </w:tc>
        <w:tc>
          <w:tcPr>
            <w:tcW w:w="1275" w:type="dxa"/>
            <w:tcBorders>
              <w:top w:val="nil"/>
              <w:left w:val="single" w:sz="4" w:space="0" w:color="000000"/>
              <w:bottom w:val="single" w:sz="4" w:space="0" w:color="000000"/>
              <w:right w:val="nil"/>
            </w:tcBorders>
            <w:vAlign w:val="bottom"/>
            <w:hideMark/>
          </w:tcPr>
          <w:p w14:paraId="4AD04F84" w14:textId="77777777" w:rsidR="00185B15" w:rsidRPr="00247DE9" w:rsidRDefault="00185B15">
            <w:pPr>
              <w:suppressAutoHyphens/>
              <w:jc w:val="center"/>
              <w:rPr>
                <w:sz w:val="24"/>
                <w:szCs w:val="24"/>
                <w:lang w:val="en-US" w:eastAsia="zh-CN"/>
              </w:rPr>
            </w:pPr>
            <w:r w:rsidRPr="00247DE9">
              <w:rPr>
                <w:sz w:val="24"/>
                <w:szCs w:val="24"/>
              </w:rPr>
              <w:t>37.237</w:t>
            </w:r>
          </w:p>
        </w:tc>
        <w:tc>
          <w:tcPr>
            <w:tcW w:w="1560" w:type="dxa"/>
            <w:tcBorders>
              <w:top w:val="nil"/>
              <w:left w:val="single" w:sz="4" w:space="0" w:color="000000"/>
              <w:bottom w:val="single" w:sz="4" w:space="0" w:color="000000"/>
              <w:right w:val="nil"/>
            </w:tcBorders>
            <w:vAlign w:val="bottom"/>
            <w:hideMark/>
          </w:tcPr>
          <w:p w14:paraId="348747E8" w14:textId="77777777" w:rsidR="00185B15" w:rsidRPr="00247DE9" w:rsidRDefault="00185B15">
            <w:pPr>
              <w:suppressAutoHyphens/>
              <w:jc w:val="center"/>
              <w:rPr>
                <w:sz w:val="24"/>
                <w:szCs w:val="24"/>
                <w:lang w:val="en-US" w:eastAsia="zh-CN"/>
              </w:rPr>
            </w:pPr>
            <w:r w:rsidRPr="00247DE9">
              <w:rPr>
                <w:b/>
                <w:bCs/>
                <w:sz w:val="24"/>
                <w:szCs w:val="24"/>
              </w:rPr>
              <w:t>-11.208</w:t>
            </w:r>
          </w:p>
        </w:tc>
        <w:tc>
          <w:tcPr>
            <w:tcW w:w="1882" w:type="dxa"/>
            <w:tcBorders>
              <w:top w:val="nil"/>
              <w:left w:val="single" w:sz="4" w:space="0" w:color="000000"/>
              <w:bottom w:val="single" w:sz="4" w:space="0" w:color="000000"/>
              <w:right w:val="single" w:sz="4" w:space="0" w:color="000000"/>
            </w:tcBorders>
            <w:vAlign w:val="bottom"/>
            <w:hideMark/>
          </w:tcPr>
          <w:p w14:paraId="44DE57A9" w14:textId="77777777" w:rsidR="00185B15" w:rsidRPr="00247DE9" w:rsidRDefault="00185B15">
            <w:pPr>
              <w:suppressAutoHyphens/>
              <w:jc w:val="center"/>
              <w:rPr>
                <w:sz w:val="24"/>
                <w:szCs w:val="24"/>
                <w:lang w:val="en-US" w:eastAsia="zh-CN"/>
              </w:rPr>
            </w:pPr>
            <w:r w:rsidRPr="00247DE9">
              <w:rPr>
                <w:sz w:val="24"/>
                <w:szCs w:val="24"/>
              </w:rPr>
              <w:t>-23</w:t>
            </w:r>
          </w:p>
        </w:tc>
      </w:tr>
      <w:tr w:rsidR="00185B15" w:rsidRPr="00247DE9" w14:paraId="57DAFADD" w14:textId="77777777" w:rsidTr="00185B15">
        <w:trPr>
          <w:trHeight w:val="360"/>
        </w:trPr>
        <w:tc>
          <w:tcPr>
            <w:tcW w:w="3417" w:type="dxa"/>
            <w:tcBorders>
              <w:top w:val="nil"/>
              <w:left w:val="single" w:sz="4" w:space="0" w:color="000000"/>
              <w:bottom w:val="single" w:sz="4" w:space="0" w:color="000000"/>
              <w:right w:val="nil"/>
            </w:tcBorders>
            <w:vAlign w:val="bottom"/>
            <w:hideMark/>
          </w:tcPr>
          <w:p w14:paraId="471B98B0" w14:textId="736DDCF0" w:rsidR="00185B15" w:rsidRPr="00247DE9" w:rsidRDefault="00185B15" w:rsidP="005C3A76">
            <w:pPr>
              <w:suppressAutoHyphens/>
              <w:rPr>
                <w:sz w:val="24"/>
                <w:szCs w:val="24"/>
                <w:lang w:val="lt-LT" w:eastAsia="zh-CN"/>
              </w:rPr>
            </w:pPr>
            <w:r w:rsidRPr="00247DE9">
              <w:rPr>
                <w:b/>
                <w:bCs/>
                <w:sz w:val="24"/>
                <w:szCs w:val="24"/>
                <w:lang w:val="lt-LT"/>
              </w:rPr>
              <w:t>Iš viso</w:t>
            </w:r>
          </w:p>
        </w:tc>
        <w:tc>
          <w:tcPr>
            <w:tcW w:w="1560" w:type="dxa"/>
            <w:tcBorders>
              <w:top w:val="nil"/>
              <w:left w:val="single" w:sz="4" w:space="0" w:color="000000"/>
              <w:bottom w:val="single" w:sz="4" w:space="0" w:color="000000"/>
              <w:right w:val="nil"/>
            </w:tcBorders>
            <w:vAlign w:val="bottom"/>
            <w:hideMark/>
          </w:tcPr>
          <w:p w14:paraId="08BD81F7" w14:textId="77777777" w:rsidR="00185B15" w:rsidRPr="00247DE9" w:rsidRDefault="00185B15">
            <w:pPr>
              <w:suppressAutoHyphens/>
              <w:jc w:val="center"/>
              <w:rPr>
                <w:sz w:val="24"/>
                <w:szCs w:val="24"/>
                <w:lang w:val="en-US" w:eastAsia="zh-CN"/>
              </w:rPr>
            </w:pPr>
            <w:r w:rsidRPr="00247DE9">
              <w:rPr>
                <w:b/>
                <w:bCs/>
                <w:sz w:val="24"/>
                <w:szCs w:val="24"/>
              </w:rPr>
              <w:t>1.789.222</w:t>
            </w:r>
          </w:p>
        </w:tc>
        <w:tc>
          <w:tcPr>
            <w:tcW w:w="1275" w:type="dxa"/>
            <w:tcBorders>
              <w:top w:val="nil"/>
              <w:left w:val="single" w:sz="4" w:space="0" w:color="000000"/>
              <w:bottom w:val="single" w:sz="4" w:space="0" w:color="000000"/>
              <w:right w:val="nil"/>
            </w:tcBorders>
            <w:vAlign w:val="bottom"/>
            <w:hideMark/>
          </w:tcPr>
          <w:p w14:paraId="692F9507" w14:textId="77777777" w:rsidR="00185B15" w:rsidRPr="00247DE9" w:rsidRDefault="00185B15">
            <w:pPr>
              <w:suppressAutoHyphens/>
              <w:jc w:val="center"/>
              <w:rPr>
                <w:sz w:val="24"/>
                <w:szCs w:val="24"/>
                <w:lang w:val="en-US" w:eastAsia="zh-CN"/>
              </w:rPr>
            </w:pPr>
            <w:r w:rsidRPr="00247DE9">
              <w:rPr>
                <w:b/>
                <w:bCs/>
                <w:sz w:val="24"/>
                <w:szCs w:val="24"/>
              </w:rPr>
              <w:t>1.074.269</w:t>
            </w:r>
          </w:p>
        </w:tc>
        <w:tc>
          <w:tcPr>
            <w:tcW w:w="1560" w:type="dxa"/>
            <w:tcBorders>
              <w:top w:val="nil"/>
              <w:left w:val="single" w:sz="4" w:space="0" w:color="000000"/>
              <w:bottom w:val="single" w:sz="4" w:space="0" w:color="000000"/>
              <w:right w:val="nil"/>
            </w:tcBorders>
            <w:vAlign w:val="bottom"/>
            <w:hideMark/>
          </w:tcPr>
          <w:p w14:paraId="61752580" w14:textId="77777777" w:rsidR="00185B15" w:rsidRPr="00247DE9" w:rsidRDefault="00185B15">
            <w:pPr>
              <w:suppressAutoHyphens/>
              <w:jc w:val="center"/>
              <w:rPr>
                <w:sz w:val="24"/>
                <w:szCs w:val="24"/>
                <w:lang w:val="en-US" w:eastAsia="zh-CN"/>
              </w:rPr>
            </w:pPr>
            <w:r w:rsidRPr="00247DE9">
              <w:rPr>
                <w:b/>
                <w:bCs/>
                <w:sz w:val="24"/>
                <w:szCs w:val="24"/>
              </w:rPr>
              <w:t>-714.953</w:t>
            </w:r>
          </w:p>
        </w:tc>
        <w:tc>
          <w:tcPr>
            <w:tcW w:w="1882" w:type="dxa"/>
            <w:tcBorders>
              <w:top w:val="nil"/>
              <w:left w:val="single" w:sz="4" w:space="0" w:color="000000"/>
              <w:bottom w:val="single" w:sz="4" w:space="0" w:color="000000"/>
              <w:right w:val="single" w:sz="4" w:space="0" w:color="000000"/>
            </w:tcBorders>
            <w:vAlign w:val="bottom"/>
            <w:hideMark/>
          </w:tcPr>
          <w:p w14:paraId="662C9848" w14:textId="77777777" w:rsidR="00185B15" w:rsidRPr="00247DE9" w:rsidRDefault="00185B15">
            <w:pPr>
              <w:suppressAutoHyphens/>
              <w:jc w:val="center"/>
              <w:rPr>
                <w:sz w:val="24"/>
                <w:szCs w:val="24"/>
                <w:lang w:val="en-US" w:eastAsia="zh-CN"/>
              </w:rPr>
            </w:pPr>
            <w:r w:rsidRPr="00247DE9">
              <w:rPr>
                <w:sz w:val="24"/>
                <w:szCs w:val="24"/>
              </w:rPr>
              <w:t>-40</w:t>
            </w:r>
          </w:p>
        </w:tc>
      </w:tr>
    </w:tbl>
    <w:p w14:paraId="06D6E208" w14:textId="77777777" w:rsidR="00185B15" w:rsidRPr="00247DE9" w:rsidRDefault="00185B15" w:rsidP="00185B15">
      <w:pPr>
        <w:jc w:val="both"/>
        <w:rPr>
          <w:sz w:val="24"/>
          <w:szCs w:val="24"/>
          <w:lang w:val="lt-LT" w:eastAsia="zh-CN"/>
        </w:rPr>
      </w:pPr>
    </w:p>
    <w:p w14:paraId="7CA9F60A" w14:textId="27166CA3" w:rsidR="00185B15" w:rsidRPr="00247DE9" w:rsidRDefault="00247DE9" w:rsidP="00185B15">
      <w:pPr>
        <w:jc w:val="both"/>
        <w:rPr>
          <w:sz w:val="24"/>
          <w:szCs w:val="24"/>
          <w:lang w:val="lt-LT"/>
        </w:rPr>
      </w:pPr>
      <w:r>
        <w:rPr>
          <w:noProof/>
          <w:sz w:val="24"/>
          <w:szCs w:val="24"/>
          <w:lang w:val="en-US" w:eastAsia="en-US"/>
        </w:rPr>
        <w:lastRenderedPageBreak/>
        <w:drawing>
          <wp:inline distT="0" distB="0" distL="0" distR="0" wp14:anchorId="291AEF87" wp14:editId="19C7F533">
            <wp:extent cx="6121400" cy="2520950"/>
            <wp:effectExtent l="0" t="0" r="0" b="0"/>
            <wp:docPr id="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l="-31" t="-73" r="-31" b="-73"/>
                    <a:stretch>
                      <a:fillRect/>
                    </a:stretch>
                  </pic:blipFill>
                  <pic:spPr bwMode="auto">
                    <a:xfrm>
                      <a:off x="0" y="0"/>
                      <a:ext cx="6121400" cy="2520950"/>
                    </a:xfrm>
                    <a:prstGeom prst="rect">
                      <a:avLst/>
                    </a:prstGeom>
                    <a:solidFill>
                      <a:srgbClr val="FFFFFF"/>
                    </a:solidFill>
                    <a:ln>
                      <a:noFill/>
                    </a:ln>
                  </pic:spPr>
                </pic:pic>
              </a:graphicData>
            </a:graphic>
          </wp:inline>
        </w:drawing>
      </w:r>
    </w:p>
    <w:p w14:paraId="1F50D31F" w14:textId="77777777" w:rsidR="00185B15" w:rsidRPr="00247DE9" w:rsidRDefault="00185B15" w:rsidP="00185B15">
      <w:pPr>
        <w:jc w:val="both"/>
        <w:rPr>
          <w:sz w:val="24"/>
          <w:szCs w:val="24"/>
          <w:lang w:val="lt-LT"/>
        </w:rPr>
      </w:pPr>
    </w:p>
    <w:p w14:paraId="7AC01EE8" w14:textId="77777777" w:rsidR="00185B15" w:rsidRPr="00706BB8" w:rsidRDefault="00185B15" w:rsidP="00185B15">
      <w:pPr>
        <w:ind w:firstLine="720"/>
        <w:jc w:val="both"/>
        <w:rPr>
          <w:sz w:val="24"/>
          <w:szCs w:val="24"/>
          <w:lang w:val="lt-LT"/>
        </w:rPr>
      </w:pPr>
      <w:r w:rsidRPr="00247DE9">
        <w:rPr>
          <w:sz w:val="24"/>
          <w:szCs w:val="24"/>
          <w:lang w:val="lt-LT"/>
        </w:rPr>
        <w:t>Dėl veiklos apimčių ir išorinių veiksnių įtakos sumažėjo bendrosios sąnaudos.</w:t>
      </w:r>
    </w:p>
    <w:p w14:paraId="376E9189" w14:textId="77777777" w:rsidR="00185B15" w:rsidRPr="00706BB8" w:rsidRDefault="00185B15" w:rsidP="00185B15">
      <w:pPr>
        <w:ind w:firstLine="720"/>
        <w:jc w:val="both"/>
        <w:rPr>
          <w:sz w:val="24"/>
          <w:szCs w:val="24"/>
          <w:lang w:val="lt-LT"/>
        </w:rPr>
      </w:pPr>
      <w:r w:rsidRPr="00247DE9">
        <w:rPr>
          <w:sz w:val="24"/>
          <w:szCs w:val="24"/>
          <w:lang w:val="lt-LT"/>
        </w:rPr>
        <w:t>Palyginus 2019 m. ir 2020 m. ridą, ji sumažėjo 55 proc. Šis sumažėjimo procentas įtakojo degalų, tepalų ir kitų eksploatacinių sąnaudų mažėjimą.</w:t>
      </w:r>
    </w:p>
    <w:p w14:paraId="27D1F3F0" w14:textId="77777777" w:rsidR="00185B15" w:rsidRPr="00247DE9" w:rsidRDefault="00185B15" w:rsidP="00185B15">
      <w:pPr>
        <w:ind w:firstLine="720"/>
        <w:jc w:val="both"/>
        <w:rPr>
          <w:sz w:val="24"/>
          <w:szCs w:val="24"/>
        </w:rPr>
      </w:pPr>
      <w:r w:rsidRPr="00247DE9">
        <w:rPr>
          <w:sz w:val="24"/>
          <w:szCs w:val="24"/>
          <w:lang w:val="lt-LT"/>
        </w:rPr>
        <w:t xml:space="preserve">Esant sunkiai ekonominiai situacijai Bendrovė sugebėjo išsaugoti pagrindines darbo vietas. </w:t>
      </w:r>
    </w:p>
    <w:p w14:paraId="3C87F662" w14:textId="77777777" w:rsidR="00185B15" w:rsidRPr="00247DE9" w:rsidRDefault="00185B15" w:rsidP="00185B15">
      <w:pPr>
        <w:jc w:val="both"/>
        <w:rPr>
          <w:sz w:val="24"/>
          <w:szCs w:val="24"/>
        </w:rPr>
      </w:pPr>
      <w:r w:rsidRPr="00247DE9">
        <w:rPr>
          <w:sz w:val="24"/>
          <w:szCs w:val="24"/>
          <w:lang w:val="lt-LT"/>
        </w:rPr>
        <w:t>Deja, gauta subsidija darbo užmokesčiui dėl prastovų padengė tik 29 proc. viso darbo užmokesčio.</w:t>
      </w:r>
    </w:p>
    <w:p w14:paraId="4703F048" w14:textId="2029517E" w:rsidR="00185B15" w:rsidRPr="00247DE9" w:rsidRDefault="00185B15" w:rsidP="00185B15">
      <w:pPr>
        <w:jc w:val="both"/>
        <w:rPr>
          <w:sz w:val="24"/>
          <w:szCs w:val="24"/>
        </w:rPr>
      </w:pPr>
      <w:r w:rsidRPr="00247DE9">
        <w:rPr>
          <w:sz w:val="24"/>
          <w:szCs w:val="24"/>
          <w:lang w:val="lt-LT"/>
        </w:rPr>
        <w:tab/>
        <w:t>Susidarius 2020 m. epideminei COVID-19 situacijai Lietuvoje paskelbus karantiną, Bendrovės veiklos rezultatai labai nukentėjo. Karantino metu ir vasarą</w:t>
      </w:r>
      <w:r w:rsidR="005C3A76">
        <w:rPr>
          <w:sz w:val="24"/>
          <w:szCs w:val="24"/>
          <w:lang w:val="lt-LT"/>
        </w:rPr>
        <w:t>,</w:t>
      </w:r>
      <w:r w:rsidRPr="00247DE9">
        <w:rPr>
          <w:sz w:val="24"/>
          <w:szCs w:val="24"/>
          <w:lang w:val="lt-LT"/>
        </w:rPr>
        <w:t xml:space="preserve"> nutraukus karantiną</w:t>
      </w:r>
      <w:r w:rsidR="005C3A76">
        <w:rPr>
          <w:sz w:val="24"/>
          <w:szCs w:val="24"/>
          <w:lang w:val="lt-LT"/>
        </w:rPr>
        <w:t>,</w:t>
      </w:r>
      <w:r w:rsidRPr="00247DE9">
        <w:rPr>
          <w:sz w:val="24"/>
          <w:szCs w:val="24"/>
          <w:lang w:val="lt-LT"/>
        </w:rPr>
        <w:t xml:space="preserve"> stipriai sumažėjo keleivių srautai.</w:t>
      </w:r>
    </w:p>
    <w:p w14:paraId="596100CF" w14:textId="77777777" w:rsidR="00185B15" w:rsidRPr="00247DE9" w:rsidRDefault="00185B15" w:rsidP="00247DE9">
      <w:pPr>
        <w:jc w:val="both"/>
        <w:rPr>
          <w:sz w:val="24"/>
          <w:szCs w:val="24"/>
          <w:lang w:val="lt-LT"/>
        </w:rPr>
      </w:pPr>
    </w:p>
    <w:p w14:paraId="7968DE5C" w14:textId="77777777" w:rsidR="00185B15" w:rsidRPr="00247DE9" w:rsidRDefault="00185B15" w:rsidP="00185B15">
      <w:pPr>
        <w:ind w:firstLine="720"/>
        <w:jc w:val="both"/>
        <w:rPr>
          <w:sz w:val="24"/>
          <w:szCs w:val="24"/>
          <w:lang w:val="en-US"/>
        </w:rPr>
      </w:pPr>
      <w:r w:rsidRPr="00247DE9">
        <w:rPr>
          <w:sz w:val="24"/>
          <w:szCs w:val="24"/>
          <w:lang w:val="lt-LT"/>
        </w:rPr>
        <w:t xml:space="preserve">Bendrovės bendras </w:t>
      </w:r>
      <w:proofErr w:type="spellStart"/>
      <w:r w:rsidRPr="00247DE9">
        <w:rPr>
          <w:sz w:val="24"/>
          <w:szCs w:val="24"/>
          <w:lang w:val="lt-LT"/>
        </w:rPr>
        <w:t>palyginamąsis</w:t>
      </w:r>
      <w:proofErr w:type="spellEnd"/>
      <w:r w:rsidRPr="00247DE9">
        <w:rPr>
          <w:sz w:val="24"/>
          <w:szCs w:val="24"/>
          <w:lang w:val="lt-LT"/>
        </w:rPr>
        <w:t xml:space="preserve"> veiklos rezultatas 2019 m. ir 2020 m.</w:t>
      </w:r>
    </w:p>
    <w:p w14:paraId="47277578" w14:textId="77777777" w:rsidR="00185B15" w:rsidRPr="00247DE9" w:rsidRDefault="00185B15" w:rsidP="00185B15">
      <w:pPr>
        <w:ind w:firstLine="720"/>
        <w:jc w:val="both"/>
        <w:rPr>
          <w:sz w:val="24"/>
          <w:szCs w:val="24"/>
          <w:lang w:val="lt-LT"/>
        </w:rPr>
      </w:pPr>
    </w:p>
    <w:tbl>
      <w:tblPr>
        <w:tblW w:w="0" w:type="auto"/>
        <w:tblInd w:w="73" w:type="dxa"/>
        <w:tblLayout w:type="fixed"/>
        <w:tblLook w:val="04A0" w:firstRow="1" w:lastRow="0" w:firstColumn="1" w:lastColumn="0" w:noHBand="0" w:noVBand="1"/>
      </w:tblPr>
      <w:tblGrid>
        <w:gridCol w:w="283"/>
        <w:gridCol w:w="3134"/>
        <w:gridCol w:w="1560"/>
        <w:gridCol w:w="1275"/>
        <w:gridCol w:w="1701"/>
        <w:gridCol w:w="1741"/>
      </w:tblGrid>
      <w:tr w:rsidR="00185B15" w:rsidRPr="00247DE9" w14:paraId="703D7D90" w14:textId="77777777" w:rsidTr="00185B15">
        <w:trPr>
          <w:trHeight w:val="675"/>
        </w:trPr>
        <w:tc>
          <w:tcPr>
            <w:tcW w:w="3417" w:type="dxa"/>
            <w:gridSpan w:val="2"/>
            <w:tcBorders>
              <w:top w:val="single" w:sz="4" w:space="0" w:color="000000"/>
              <w:left w:val="single" w:sz="4" w:space="0" w:color="000000"/>
              <w:bottom w:val="single" w:sz="4" w:space="0" w:color="000000"/>
              <w:right w:val="nil"/>
            </w:tcBorders>
            <w:vAlign w:val="center"/>
            <w:hideMark/>
          </w:tcPr>
          <w:p w14:paraId="4FD254C9" w14:textId="77777777" w:rsidR="00185B15" w:rsidRPr="00247DE9" w:rsidRDefault="00185B15">
            <w:pPr>
              <w:suppressAutoHyphens/>
              <w:jc w:val="center"/>
              <w:rPr>
                <w:sz w:val="24"/>
                <w:szCs w:val="24"/>
                <w:lang w:val="lt-LT" w:eastAsia="zh-CN"/>
              </w:rPr>
            </w:pPr>
            <w:r w:rsidRPr="00247DE9">
              <w:rPr>
                <w:b/>
                <w:bCs/>
                <w:sz w:val="24"/>
                <w:szCs w:val="24"/>
                <w:lang w:val="lt-LT"/>
              </w:rPr>
              <w:t>Rodikliai</w:t>
            </w:r>
          </w:p>
        </w:tc>
        <w:tc>
          <w:tcPr>
            <w:tcW w:w="1560" w:type="dxa"/>
            <w:tcBorders>
              <w:top w:val="single" w:sz="4" w:space="0" w:color="000000"/>
              <w:left w:val="single" w:sz="4" w:space="0" w:color="000000"/>
              <w:bottom w:val="single" w:sz="4" w:space="0" w:color="000000"/>
              <w:right w:val="nil"/>
            </w:tcBorders>
            <w:vAlign w:val="center"/>
            <w:hideMark/>
          </w:tcPr>
          <w:p w14:paraId="530B74D7" w14:textId="77777777" w:rsidR="00185B15" w:rsidRPr="00247DE9" w:rsidRDefault="00185B15">
            <w:pPr>
              <w:suppressAutoHyphens/>
              <w:jc w:val="center"/>
              <w:rPr>
                <w:sz w:val="24"/>
                <w:szCs w:val="24"/>
                <w:lang w:val="en-US" w:eastAsia="zh-CN"/>
              </w:rPr>
            </w:pPr>
            <w:r w:rsidRPr="00247DE9">
              <w:rPr>
                <w:b/>
                <w:bCs/>
                <w:sz w:val="24"/>
                <w:szCs w:val="24"/>
              </w:rPr>
              <w:t>2019 m.</w:t>
            </w:r>
          </w:p>
        </w:tc>
        <w:tc>
          <w:tcPr>
            <w:tcW w:w="1275" w:type="dxa"/>
            <w:tcBorders>
              <w:top w:val="single" w:sz="4" w:space="0" w:color="000000"/>
              <w:left w:val="single" w:sz="4" w:space="0" w:color="000000"/>
              <w:bottom w:val="single" w:sz="4" w:space="0" w:color="000000"/>
              <w:right w:val="nil"/>
            </w:tcBorders>
            <w:vAlign w:val="center"/>
            <w:hideMark/>
          </w:tcPr>
          <w:p w14:paraId="798E436E" w14:textId="77777777" w:rsidR="00185B15" w:rsidRPr="00247DE9" w:rsidRDefault="00185B15">
            <w:pPr>
              <w:suppressAutoHyphens/>
              <w:jc w:val="center"/>
              <w:rPr>
                <w:sz w:val="24"/>
                <w:szCs w:val="24"/>
                <w:lang w:val="en-US" w:eastAsia="zh-CN"/>
              </w:rPr>
            </w:pPr>
            <w:r w:rsidRPr="00247DE9">
              <w:rPr>
                <w:b/>
                <w:bCs/>
                <w:sz w:val="24"/>
                <w:szCs w:val="24"/>
              </w:rPr>
              <w:t xml:space="preserve">2020 m. </w:t>
            </w:r>
          </w:p>
        </w:tc>
        <w:tc>
          <w:tcPr>
            <w:tcW w:w="1701" w:type="dxa"/>
            <w:tcBorders>
              <w:top w:val="single" w:sz="4" w:space="0" w:color="000000"/>
              <w:left w:val="single" w:sz="4" w:space="0" w:color="000000"/>
              <w:bottom w:val="single" w:sz="4" w:space="0" w:color="000000"/>
              <w:right w:val="nil"/>
            </w:tcBorders>
            <w:vAlign w:val="center"/>
            <w:hideMark/>
          </w:tcPr>
          <w:p w14:paraId="61BDBF4E" w14:textId="77777777" w:rsidR="00185B15" w:rsidRPr="00247DE9" w:rsidRDefault="00185B15">
            <w:pPr>
              <w:suppressAutoHyphens/>
              <w:jc w:val="center"/>
              <w:rPr>
                <w:sz w:val="24"/>
                <w:szCs w:val="24"/>
                <w:lang w:val="en-US" w:eastAsia="zh-CN"/>
              </w:rPr>
            </w:pPr>
            <w:r w:rsidRPr="00247DE9">
              <w:rPr>
                <w:b/>
                <w:bCs/>
                <w:sz w:val="24"/>
                <w:szCs w:val="24"/>
              </w:rPr>
              <w:t xml:space="preserve">2020/2019 m. </w:t>
            </w:r>
            <w:r w:rsidRPr="00247DE9">
              <w:rPr>
                <w:b/>
                <w:bCs/>
                <w:sz w:val="24"/>
                <w:szCs w:val="24"/>
                <w:lang w:val="lt-LT"/>
              </w:rPr>
              <w:t xml:space="preserve">kitimas </w:t>
            </w:r>
            <w:r w:rsidRPr="00247DE9">
              <w:rPr>
                <w:b/>
                <w:bCs/>
                <w:sz w:val="24"/>
                <w:szCs w:val="24"/>
              </w:rPr>
              <w:t>(+,-)</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4761065A" w14:textId="77777777" w:rsidR="00185B15" w:rsidRPr="00247DE9" w:rsidRDefault="00185B15">
            <w:pPr>
              <w:suppressAutoHyphens/>
              <w:jc w:val="center"/>
              <w:rPr>
                <w:sz w:val="24"/>
                <w:szCs w:val="24"/>
                <w:lang w:val="en-US" w:eastAsia="zh-CN"/>
              </w:rPr>
            </w:pPr>
            <w:r w:rsidRPr="00247DE9">
              <w:rPr>
                <w:b/>
                <w:bCs/>
                <w:sz w:val="24"/>
                <w:szCs w:val="24"/>
              </w:rPr>
              <w:t xml:space="preserve">2020/2019 m. </w:t>
            </w:r>
            <w:r w:rsidRPr="00247DE9">
              <w:rPr>
                <w:b/>
                <w:bCs/>
                <w:sz w:val="24"/>
                <w:szCs w:val="24"/>
                <w:lang w:val="lt-LT"/>
              </w:rPr>
              <w:t>kitimas</w:t>
            </w:r>
            <w:r w:rsidRPr="00247DE9">
              <w:rPr>
                <w:b/>
                <w:bCs/>
                <w:sz w:val="24"/>
                <w:szCs w:val="24"/>
              </w:rPr>
              <w:t xml:space="preserve"> (%)</w:t>
            </w:r>
          </w:p>
        </w:tc>
      </w:tr>
      <w:tr w:rsidR="00185B15" w:rsidRPr="00247DE9" w14:paraId="389AF2F4" w14:textId="77777777" w:rsidTr="00185B15">
        <w:trPr>
          <w:trHeight w:val="360"/>
        </w:trPr>
        <w:tc>
          <w:tcPr>
            <w:tcW w:w="283" w:type="dxa"/>
            <w:tcBorders>
              <w:top w:val="nil"/>
              <w:left w:val="single" w:sz="4" w:space="0" w:color="000000"/>
              <w:bottom w:val="single" w:sz="4" w:space="0" w:color="000000"/>
              <w:right w:val="nil"/>
            </w:tcBorders>
            <w:vAlign w:val="bottom"/>
            <w:hideMark/>
          </w:tcPr>
          <w:p w14:paraId="0206F979" w14:textId="77777777" w:rsidR="00185B15" w:rsidRPr="00247DE9" w:rsidRDefault="00185B15">
            <w:pPr>
              <w:suppressAutoHyphens/>
              <w:rPr>
                <w:sz w:val="24"/>
                <w:szCs w:val="24"/>
                <w:lang w:val="en-US" w:eastAsia="zh-CN"/>
              </w:rPr>
            </w:pPr>
            <w:r w:rsidRPr="00247DE9">
              <w:rPr>
                <w:sz w:val="24"/>
                <w:szCs w:val="24"/>
              </w:rPr>
              <w:t> </w:t>
            </w:r>
          </w:p>
        </w:tc>
        <w:tc>
          <w:tcPr>
            <w:tcW w:w="3134" w:type="dxa"/>
            <w:tcBorders>
              <w:top w:val="nil"/>
              <w:left w:val="single" w:sz="4" w:space="0" w:color="000000"/>
              <w:bottom w:val="single" w:sz="4" w:space="0" w:color="000000"/>
              <w:right w:val="nil"/>
            </w:tcBorders>
            <w:vAlign w:val="bottom"/>
            <w:hideMark/>
          </w:tcPr>
          <w:p w14:paraId="609D49AF" w14:textId="77777777" w:rsidR="00185B15" w:rsidRPr="00247DE9" w:rsidRDefault="00185B15">
            <w:pPr>
              <w:suppressAutoHyphens/>
              <w:rPr>
                <w:sz w:val="24"/>
                <w:szCs w:val="24"/>
                <w:lang w:val="lt-LT" w:eastAsia="zh-CN"/>
              </w:rPr>
            </w:pPr>
            <w:r w:rsidRPr="00247DE9">
              <w:rPr>
                <w:sz w:val="24"/>
                <w:szCs w:val="24"/>
                <w:lang w:val="lt-LT"/>
              </w:rPr>
              <w:t>Pajamos</w:t>
            </w:r>
          </w:p>
        </w:tc>
        <w:tc>
          <w:tcPr>
            <w:tcW w:w="1560" w:type="dxa"/>
            <w:tcBorders>
              <w:top w:val="nil"/>
              <w:left w:val="single" w:sz="4" w:space="0" w:color="000000"/>
              <w:bottom w:val="single" w:sz="4" w:space="0" w:color="000000"/>
              <w:right w:val="nil"/>
            </w:tcBorders>
            <w:vAlign w:val="bottom"/>
            <w:hideMark/>
          </w:tcPr>
          <w:p w14:paraId="0D20974C" w14:textId="77777777" w:rsidR="00185B15" w:rsidRPr="00247DE9" w:rsidRDefault="00185B15">
            <w:pPr>
              <w:suppressAutoHyphens/>
              <w:jc w:val="center"/>
              <w:rPr>
                <w:sz w:val="24"/>
                <w:szCs w:val="24"/>
                <w:lang w:val="en-US" w:eastAsia="zh-CN"/>
              </w:rPr>
            </w:pPr>
            <w:r w:rsidRPr="00247DE9">
              <w:rPr>
                <w:sz w:val="24"/>
                <w:szCs w:val="24"/>
              </w:rPr>
              <w:t>1.727.303</w:t>
            </w:r>
          </w:p>
        </w:tc>
        <w:tc>
          <w:tcPr>
            <w:tcW w:w="1275" w:type="dxa"/>
            <w:tcBorders>
              <w:top w:val="nil"/>
              <w:left w:val="single" w:sz="4" w:space="0" w:color="000000"/>
              <w:bottom w:val="single" w:sz="4" w:space="0" w:color="000000"/>
              <w:right w:val="nil"/>
            </w:tcBorders>
            <w:vAlign w:val="bottom"/>
            <w:hideMark/>
          </w:tcPr>
          <w:p w14:paraId="3658E520" w14:textId="77777777" w:rsidR="00185B15" w:rsidRPr="00247DE9" w:rsidRDefault="00185B15">
            <w:pPr>
              <w:suppressAutoHyphens/>
              <w:jc w:val="center"/>
              <w:rPr>
                <w:sz w:val="24"/>
                <w:szCs w:val="24"/>
                <w:lang w:val="en-US" w:eastAsia="zh-CN"/>
              </w:rPr>
            </w:pPr>
            <w:r w:rsidRPr="00247DE9">
              <w:rPr>
                <w:sz w:val="24"/>
                <w:szCs w:val="24"/>
              </w:rPr>
              <w:t>930.051</w:t>
            </w:r>
          </w:p>
        </w:tc>
        <w:tc>
          <w:tcPr>
            <w:tcW w:w="1701" w:type="dxa"/>
            <w:tcBorders>
              <w:top w:val="nil"/>
              <w:left w:val="single" w:sz="4" w:space="0" w:color="000000"/>
              <w:bottom w:val="single" w:sz="4" w:space="0" w:color="000000"/>
              <w:right w:val="nil"/>
            </w:tcBorders>
            <w:vAlign w:val="bottom"/>
            <w:hideMark/>
          </w:tcPr>
          <w:p w14:paraId="0B5ABE0A" w14:textId="77777777" w:rsidR="00185B15" w:rsidRPr="00247DE9" w:rsidRDefault="00185B15">
            <w:pPr>
              <w:suppressAutoHyphens/>
              <w:jc w:val="center"/>
              <w:rPr>
                <w:sz w:val="24"/>
                <w:szCs w:val="24"/>
                <w:lang w:val="en-US" w:eastAsia="zh-CN"/>
              </w:rPr>
            </w:pPr>
            <w:r w:rsidRPr="00247DE9">
              <w:rPr>
                <w:sz w:val="24"/>
                <w:szCs w:val="24"/>
              </w:rPr>
              <w:t>-797.252</w:t>
            </w:r>
          </w:p>
        </w:tc>
        <w:tc>
          <w:tcPr>
            <w:tcW w:w="1741" w:type="dxa"/>
            <w:tcBorders>
              <w:top w:val="nil"/>
              <w:left w:val="single" w:sz="4" w:space="0" w:color="000000"/>
              <w:bottom w:val="single" w:sz="4" w:space="0" w:color="000000"/>
              <w:right w:val="single" w:sz="4" w:space="0" w:color="000000"/>
            </w:tcBorders>
            <w:vAlign w:val="bottom"/>
            <w:hideMark/>
          </w:tcPr>
          <w:p w14:paraId="33394F10" w14:textId="77777777" w:rsidR="00185B15" w:rsidRPr="00247DE9" w:rsidRDefault="00185B15">
            <w:pPr>
              <w:suppressAutoHyphens/>
              <w:jc w:val="center"/>
              <w:rPr>
                <w:sz w:val="24"/>
                <w:szCs w:val="24"/>
                <w:lang w:val="en-US" w:eastAsia="zh-CN"/>
              </w:rPr>
            </w:pPr>
            <w:r w:rsidRPr="00247DE9">
              <w:rPr>
                <w:sz w:val="24"/>
                <w:szCs w:val="24"/>
              </w:rPr>
              <w:t>-46</w:t>
            </w:r>
          </w:p>
        </w:tc>
      </w:tr>
      <w:tr w:rsidR="00185B15" w:rsidRPr="00247DE9" w14:paraId="0E4651CD" w14:textId="77777777" w:rsidTr="00185B15">
        <w:trPr>
          <w:trHeight w:val="360"/>
        </w:trPr>
        <w:tc>
          <w:tcPr>
            <w:tcW w:w="283" w:type="dxa"/>
            <w:tcBorders>
              <w:top w:val="nil"/>
              <w:left w:val="single" w:sz="4" w:space="0" w:color="000000"/>
              <w:bottom w:val="single" w:sz="4" w:space="0" w:color="000000"/>
              <w:right w:val="nil"/>
            </w:tcBorders>
            <w:vAlign w:val="bottom"/>
            <w:hideMark/>
          </w:tcPr>
          <w:p w14:paraId="2B6741D3" w14:textId="77777777" w:rsidR="00185B15" w:rsidRPr="00247DE9" w:rsidRDefault="00185B15">
            <w:pPr>
              <w:suppressAutoHyphens/>
              <w:rPr>
                <w:sz w:val="24"/>
                <w:szCs w:val="24"/>
                <w:lang w:val="en-US" w:eastAsia="zh-CN"/>
              </w:rPr>
            </w:pPr>
            <w:r w:rsidRPr="00247DE9">
              <w:rPr>
                <w:sz w:val="24"/>
                <w:szCs w:val="24"/>
              </w:rPr>
              <w:t> </w:t>
            </w:r>
          </w:p>
        </w:tc>
        <w:tc>
          <w:tcPr>
            <w:tcW w:w="3134" w:type="dxa"/>
            <w:tcBorders>
              <w:top w:val="nil"/>
              <w:left w:val="single" w:sz="4" w:space="0" w:color="000000"/>
              <w:bottom w:val="single" w:sz="4" w:space="0" w:color="000000"/>
              <w:right w:val="nil"/>
            </w:tcBorders>
            <w:vAlign w:val="bottom"/>
            <w:hideMark/>
          </w:tcPr>
          <w:p w14:paraId="3355048F" w14:textId="77777777" w:rsidR="00185B15" w:rsidRPr="00247DE9" w:rsidRDefault="00185B15">
            <w:pPr>
              <w:suppressAutoHyphens/>
              <w:rPr>
                <w:sz w:val="24"/>
                <w:szCs w:val="24"/>
                <w:lang w:val="lt-LT" w:eastAsia="zh-CN"/>
              </w:rPr>
            </w:pPr>
            <w:r w:rsidRPr="00247DE9">
              <w:rPr>
                <w:sz w:val="24"/>
                <w:szCs w:val="24"/>
                <w:lang w:val="lt-LT"/>
              </w:rPr>
              <w:t>Sąnaudos</w:t>
            </w:r>
          </w:p>
        </w:tc>
        <w:tc>
          <w:tcPr>
            <w:tcW w:w="1560" w:type="dxa"/>
            <w:tcBorders>
              <w:top w:val="nil"/>
              <w:left w:val="single" w:sz="4" w:space="0" w:color="000000"/>
              <w:bottom w:val="single" w:sz="4" w:space="0" w:color="000000"/>
              <w:right w:val="nil"/>
            </w:tcBorders>
            <w:vAlign w:val="bottom"/>
            <w:hideMark/>
          </w:tcPr>
          <w:p w14:paraId="5F9CB1AC" w14:textId="77777777" w:rsidR="00185B15" w:rsidRPr="00247DE9" w:rsidRDefault="00185B15">
            <w:pPr>
              <w:suppressAutoHyphens/>
              <w:jc w:val="center"/>
              <w:rPr>
                <w:sz w:val="24"/>
                <w:szCs w:val="24"/>
                <w:lang w:val="en-US" w:eastAsia="zh-CN"/>
              </w:rPr>
            </w:pPr>
            <w:r w:rsidRPr="00247DE9">
              <w:rPr>
                <w:sz w:val="24"/>
                <w:szCs w:val="24"/>
              </w:rPr>
              <w:t>1.789.222</w:t>
            </w:r>
          </w:p>
        </w:tc>
        <w:tc>
          <w:tcPr>
            <w:tcW w:w="1275" w:type="dxa"/>
            <w:tcBorders>
              <w:top w:val="nil"/>
              <w:left w:val="single" w:sz="4" w:space="0" w:color="000000"/>
              <w:bottom w:val="single" w:sz="4" w:space="0" w:color="000000"/>
              <w:right w:val="nil"/>
            </w:tcBorders>
            <w:vAlign w:val="bottom"/>
            <w:hideMark/>
          </w:tcPr>
          <w:p w14:paraId="1958F784" w14:textId="77777777" w:rsidR="00185B15" w:rsidRPr="00247DE9" w:rsidRDefault="00185B15">
            <w:pPr>
              <w:suppressAutoHyphens/>
              <w:jc w:val="center"/>
              <w:rPr>
                <w:sz w:val="24"/>
                <w:szCs w:val="24"/>
                <w:lang w:val="en-US" w:eastAsia="zh-CN"/>
              </w:rPr>
            </w:pPr>
            <w:r w:rsidRPr="00247DE9">
              <w:rPr>
                <w:sz w:val="24"/>
                <w:szCs w:val="24"/>
              </w:rPr>
              <w:t>1.074.269</w:t>
            </w:r>
          </w:p>
        </w:tc>
        <w:tc>
          <w:tcPr>
            <w:tcW w:w="1701" w:type="dxa"/>
            <w:tcBorders>
              <w:top w:val="nil"/>
              <w:left w:val="single" w:sz="4" w:space="0" w:color="000000"/>
              <w:bottom w:val="single" w:sz="4" w:space="0" w:color="000000"/>
              <w:right w:val="nil"/>
            </w:tcBorders>
            <w:vAlign w:val="bottom"/>
            <w:hideMark/>
          </w:tcPr>
          <w:p w14:paraId="051C493D" w14:textId="77777777" w:rsidR="00185B15" w:rsidRPr="00247DE9" w:rsidRDefault="00185B15">
            <w:pPr>
              <w:suppressAutoHyphens/>
              <w:jc w:val="center"/>
              <w:rPr>
                <w:sz w:val="24"/>
                <w:szCs w:val="24"/>
                <w:lang w:val="en-US" w:eastAsia="zh-CN"/>
              </w:rPr>
            </w:pPr>
            <w:r w:rsidRPr="00247DE9">
              <w:rPr>
                <w:sz w:val="24"/>
                <w:szCs w:val="24"/>
              </w:rPr>
              <w:t>-714.953</w:t>
            </w:r>
          </w:p>
        </w:tc>
        <w:tc>
          <w:tcPr>
            <w:tcW w:w="1741" w:type="dxa"/>
            <w:tcBorders>
              <w:top w:val="nil"/>
              <w:left w:val="single" w:sz="4" w:space="0" w:color="000000"/>
              <w:bottom w:val="single" w:sz="4" w:space="0" w:color="000000"/>
              <w:right w:val="single" w:sz="4" w:space="0" w:color="000000"/>
            </w:tcBorders>
            <w:vAlign w:val="bottom"/>
            <w:hideMark/>
          </w:tcPr>
          <w:p w14:paraId="29326B2C" w14:textId="77777777" w:rsidR="00185B15" w:rsidRPr="00247DE9" w:rsidRDefault="00185B15">
            <w:pPr>
              <w:suppressAutoHyphens/>
              <w:jc w:val="center"/>
              <w:rPr>
                <w:sz w:val="24"/>
                <w:szCs w:val="24"/>
                <w:lang w:val="en-US" w:eastAsia="zh-CN"/>
              </w:rPr>
            </w:pPr>
            <w:r w:rsidRPr="00247DE9">
              <w:rPr>
                <w:sz w:val="24"/>
                <w:szCs w:val="24"/>
              </w:rPr>
              <w:t>-40</w:t>
            </w:r>
          </w:p>
        </w:tc>
      </w:tr>
      <w:tr w:rsidR="00185B15" w:rsidRPr="00247DE9" w14:paraId="403E03EB" w14:textId="77777777" w:rsidTr="00185B15">
        <w:trPr>
          <w:trHeight w:val="360"/>
        </w:trPr>
        <w:tc>
          <w:tcPr>
            <w:tcW w:w="283" w:type="dxa"/>
            <w:tcBorders>
              <w:top w:val="nil"/>
              <w:left w:val="single" w:sz="4" w:space="0" w:color="000000"/>
              <w:bottom w:val="single" w:sz="4" w:space="0" w:color="000000"/>
              <w:right w:val="nil"/>
            </w:tcBorders>
            <w:vAlign w:val="bottom"/>
            <w:hideMark/>
          </w:tcPr>
          <w:p w14:paraId="3ABCDEA5" w14:textId="77777777" w:rsidR="00185B15" w:rsidRPr="00247DE9" w:rsidRDefault="00185B15">
            <w:pPr>
              <w:suppressAutoHyphens/>
              <w:rPr>
                <w:sz w:val="24"/>
                <w:szCs w:val="24"/>
                <w:lang w:val="en-US" w:eastAsia="zh-CN"/>
              </w:rPr>
            </w:pPr>
            <w:r w:rsidRPr="00247DE9">
              <w:rPr>
                <w:sz w:val="24"/>
                <w:szCs w:val="24"/>
              </w:rPr>
              <w:t> </w:t>
            </w:r>
          </w:p>
        </w:tc>
        <w:tc>
          <w:tcPr>
            <w:tcW w:w="3134" w:type="dxa"/>
            <w:tcBorders>
              <w:top w:val="nil"/>
              <w:left w:val="single" w:sz="4" w:space="0" w:color="000000"/>
              <w:bottom w:val="single" w:sz="4" w:space="0" w:color="000000"/>
              <w:right w:val="nil"/>
            </w:tcBorders>
            <w:vAlign w:val="bottom"/>
            <w:hideMark/>
          </w:tcPr>
          <w:p w14:paraId="7AB62A1E" w14:textId="77777777" w:rsidR="00185B15" w:rsidRPr="00247DE9" w:rsidRDefault="00185B15">
            <w:pPr>
              <w:suppressAutoHyphens/>
              <w:rPr>
                <w:sz w:val="24"/>
                <w:szCs w:val="24"/>
                <w:lang w:val="lt-LT" w:eastAsia="zh-CN"/>
              </w:rPr>
            </w:pPr>
            <w:r w:rsidRPr="00247DE9">
              <w:rPr>
                <w:b/>
                <w:bCs/>
                <w:sz w:val="24"/>
                <w:szCs w:val="24"/>
                <w:lang w:val="lt-LT"/>
              </w:rPr>
              <w:t>Rezultatas (+,-)</w:t>
            </w:r>
          </w:p>
        </w:tc>
        <w:tc>
          <w:tcPr>
            <w:tcW w:w="1560" w:type="dxa"/>
            <w:tcBorders>
              <w:top w:val="nil"/>
              <w:left w:val="single" w:sz="4" w:space="0" w:color="000000"/>
              <w:bottom w:val="single" w:sz="4" w:space="0" w:color="000000"/>
              <w:right w:val="nil"/>
            </w:tcBorders>
            <w:vAlign w:val="bottom"/>
            <w:hideMark/>
          </w:tcPr>
          <w:p w14:paraId="397ABA5C" w14:textId="77777777" w:rsidR="00185B15" w:rsidRPr="00247DE9" w:rsidRDefault="00185B15">
            <w:pPr>
              <w:suppressAutoHyphens/>
              <w:jc w:val="center"/>
              <w:rPr>
                <w:sz w:val="24"/>
                <w:szCs w:val="24"/>
                <w:lang w:val="en-US" w:eastAsia="zh-CN"/>
              </w:rPr>
            </w:pPr>
            <w:r w:rsidRPr="00247DE9">
              <w:rPr>
                <w:b/>
                <w:bCs/>
                <w:sz w:val="24"/>
                <w:szCs w:val="24"/>
              </w:rPr>
              <w:t>-61.919</w:t>
            </w:r>
          </w:p>
        </w:tc>
        <w:tc>
          <w:tcPr>
            <w:tcW w:w="1275" w:type="dxa"/>
            <w:tcBorders>
              <w:top w:val="nil"/>
              <w:left w:val="single" w:sz="4" w:space="0" w:color="000000"/>
              <w:bottom w:val="single" w:sz="4" w:space="0" w:color="000000"/>
              <w:right w:val="nil"/>
            </w:tcBorders>
            <w:vAlign w:val="bottom"/>
            <w:hideMark/>
          </w:tcPr>
          <w:p w14:paraId="344C1FD5" w14:textId="77777777" w:rsidR="00185B15" w:rsidRPr="00247DE9" w:rsidRDefault="00185B15">
            <w:pPr>
              <w:suppressAutoHyphens/>
              <w:jc w:val="center"/>
              <w:rPr>
                <w:sz w:val="24"/>
                <w:szCs w:val="24"/>
                <w:lang w:val="en-US" w:eastAsia="zh-CN"/>
              </w:rPr>
            </w:pPr>
            <w:r w:rsidRPr="00247DE9">
              <w:rPr>
                <w:b/>
                <w:bCs/>
                <w:sz w:val="24"/>
                <w:szCs w:val="24"/>
              </w:rPr>
              <w:t>-144.218</w:t>
            </w:r>
          </w:p>
        </w:tc>
        <w:tc>
          <w:tcPr>
            <w:tcW w:w="1701" w:type="dxa"/>
            <w:tcBorders>
              <w:top w:val="nil"/>
              <w:left w:val="single" w:sz="4" w:space="0" w:color="000000"/>
              <w:bottom w:val="single" w:sz="4" w:space="0" w:color="000000"/>
              <w:right w:val="nil"/>
            </w:tcBorders>
            <w:vAlign w:val="bottom"/>
            <w:hideMark/>
          </w:tcPr>
          <w:p w14:paraId="676E01FF" w14:textId="77777777" w:rsidR="00185B15" w:rsidRPr="00247DE9" w:rsidRDefault="00185B15">
            <w:pPr>
              <w:suppressAutoHyphens/>
              <w:jc w:val="center"/>
              <w:rPr>
                <w:sz w:val="24"/>
                <w:szCs w:val="24"/>
                <w:lang w:val="en-US" w:eastAsia="zh-CN"/>
              </w:rPr>
            </w:pPr>
            <w:r w:rsidRPr="00247DE9">
              <w:rPr>
                <w:b/>
                <w:bCs/>
                <w:sz w:val="24"/>
                <w:szCs w:val="24"/>
              </w:rPr>
              <w:t>-82.299</w:t>
            </w:r>
          </w:p>
        </w:tc>
        <w:tc>
          <w:tcPr>
            <w:tcW w:w="1741" w:type="dxa"/>
            <w:tcBorders>
              <w:top w:val="nil"/>
              <w:left w:val="single" w:sz="4" w:space="0" w:color="000000"/>
              <w:bottom w:val="single" w:sz="4" w:space="0" w:color="000000"/>
              <w:right w:val="single" w:sz="4" w:space="0" w:color="000000"/>
            </w:tcBorders>
            <w:vAlign w:val="bottom"/>
            <w:hideMark/>
          </w:tcPr>
          <w:p w14:paraId="024F88C1" w14:textId="77777777" w:rsidR="00185B15" w:rsidRPr="00247DE9" w:rsidRDefault="00185B15">
            <w:pPr>
              <w:suppressAutoHyphens/>
              <w:jc w:val="center"/>
              <w:rPr>
                <w:sz w:val="24"/>
                <w:szCs w:val="24"/>
                <w:lang w:val="en-US" w:eastAsia="zh-CN"/>
              </w:rPr>
            </w:pPr>
            <w:r w:rsidRPr="00247DE9">
              <w:rPr>
                <w:b/>
                <w:bCs/>
                <w:sz w:val="24"/>
                <w:szCs w:val="24"/>
              </w:rPr>
              <w:t>133</w:t>
            </w:r>
          </w:p>
        </w:tc>
      </w:tr>
    </w:tbl>
    <w:p w14:paraId="262923DE" w14:textId="77777777" w:rsidR="00185B15" w:rsidRPr="00247DE9" w:rsidRDefault="00185B15" w:rsidP="00185B15">
      <w:pPr>
        <w:ind w:firstLine="1080"/>
        <w:jc w:val="both"/>
        <w:rPr>
          <w:sz w:val="24"/>
          <w:szCs w:val="24"/>
          <w:lang w:val="lt-LT" w:eastAsia="zh-CN"/>
        </w:rPr>
      </w:pPr>
    </w:p>
    <w:p w14:paraId="1351CFCC" w14:textId="0CE957C5" w:rsidR="00185B15" w:rsidRPr="00247DE9" w:rsidRDefault="00247DE9" w:rsidP="00185B15">
      <w:pPr>
        <w:ind w:firstLine="1080"/>
        <w:jc w:val="both"/>
        <w:rPr>
          <w:sz w:val="24"/>
          <w:szCs w:val="24"/>
          <w:lang w:val="lt-LT"/>
        </w:rPr>
      </w:pPr>
      <w:r>
        <w:rPr>
          <w:noProof/>
          <w:sz w:val="24"/>
          <w:szCs w:val="24"/>
          <w:lang w:val="en-US" w:eastAsia="en-US"/>
        </w:rPr>
        <w:drawing>
          <wp:inline distT="0" distB="0" distL="0" distR="0" wp14:anchorId="0963D66D" wp14:editId="0FB0CE5C">
            <wp:extent cx="4591050" cy="2755900"/>
            <wp:effectExtent l="0" t="0" r="0" b="6350"/>
            <wp:docPr id="36"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l="-41" t="-69" r="-41" b="-69"/>
                    <a:stretch>
                      <a:fillRect/>
                    </a:stretch>
                  </pic:blipFill>
                  <pic:spPr bwMode="auto">
                    <a:xfrm>
                      <a:off x="0" y="0"/>
                      <a:ext cx="4591050" cy="2755900"/>
                    </a:xfrm>
                    <a:prstGeom prst="rect">
                      <a:avLst/>
                    </a:prstGeom>
                    <a:solidFill>
                      <a:srgbClr val="FFFFFF"/>
                    </a:solidFill>
                    <a:ln>
                      <a:noFill/>
                    </a:ln>
                  </pic:spPr>
                </pic:pic>
              </a:graphicData>
            </a:graphic>
          </wp:inline>
        </w:drawing>
      </w:r>
    </w:p>
    <w:p w14:paraId="449D77E9" w14:textId="77777777" w:rsidR="00185B15" w:rsidRPr="00247DE9" w:rsidRDefault="00185B15" w:rsidP="00185B15">
      <w:pPr>
        <w:ind w:firstLine="1080"/>
        <w:jc w:val="both"/>
        <w:rPr>
          <w:sz w:val="24"/>
          <w:szCs w:val="24"/>
          <w:lang w:val="lt-LT"/>
        </w:rPr>
      </w:pPr>
    </w:p>
    <w:p w14:paraId="680E0553" w14:textId="58B122FA" w:rsidR="00185B15" w:rsidRPr="00706BB8" w:rsidRDefault="00185B15" w:rsidP="00185B15">
      <w:pPr>
        <w:ind w:firstLine="720"/>
        <w:jc w:val="both"/>
        <w:rPr>
          <w:sz w:val="24"/>
          <w:szCs w:val="24"/>
          <w:lang w:val="lt-LT"/>
        </w:rPr>
      </w:pPr>
      <w:r w:rsidRPr="00247DE9">
        <w:rPr>
          <w:sz w:val="24"/>
          <w:szCs w:val="24"/>
          <w:lang w:val="lt-LT"/>
        </w:rPr>
        <w:lastRenderedPageBreak/>
        <w:t>2020 m. Bendrovė užbaigė nuostolingai. Nuostoliai sudaro – 144 tūkst. Eur. Nuostolis</w:t>
      </w:r>
      <w:r w:rsidR="005C3A76">
        <w:rPr>
          <w:sz w:val="24"/>
          <w:szCs w:val="24"/>
          <w:lang w:val="lt-LT"/>
        </w:rPr>
        <w:t>,</w:t>
      </w:r>
      <w:r w:rsidRPr="00247DE9">
        <w:rPr>
          <w:sz w:val="24"/>
          <w:szCs w:val="24"/>
          <w:lang w:val="lt-LT"/>
        </w:rPr>
        <w:t xml:space="preserve"> palyginti su 2019 m.</w:t>
      </w:r>
      <w:r w:rsidR="005C3A76">
        <w:rPr>
          <w:sz w:val="24"/>
          <w:szCs w:val="24"/>
          <w:lang w:val="lt-LT"/>
        </w:rPr>
        <w:t>,</w:t>
      </w:r>
      <w:r w:rsidRPr="00247DE9">
        <w:rPr>
          <w:sz w:val="24"/>
          <w:szCs w:val="24"/>
          <w:lang w:val="lt-LT"/>
        </w:rPr>
        <w:t xml:space="preserve"> padidėjo dėl susidariusios ekonominės situacijos šalyje, kurią sukėlė COVID-19 liga.</w:t>
      </w:r>
    </w:p>
    <w:p w14:paraId="7CEF3FA1" w14:textId="1AB06F3F" w:rsidR="00185B15" w:rsidRPr="00706BB8" w:rsidRDefault="00185B15" w:rsidP="00185B15">
      <w:pPr>
        <w:ind w:firstLine="709"/>
        <w:jc w:val="both"/>
        <w:rPr>
          <w:sz w:val="24"/>
          <w:szCs w:val="24"/>
          <w:lang w:val="lt-LT"/>
        </w:rPr>
      </w:pPr>
      <w:r w:rsidRPr="00247DE9">
        <w:rPr>
          <w:sz w:val="24"/>
          <w:szCs w:val="24"/>
          <w:lang w:val="lt-LT"/>
        </w:rPr>
        <w:t>Keleivių vežimo reguliaraus susisiekimo autobusų maršrutais veikla buvo nuostolinga. Nuostoliai 2020 m., vežant keleivius tolimojo, miesto ir priemiestinio reguliaraus susisiekimo autobusų maršrutais</w:t>
      </w:r>
      <w:r w:rsidR="005C3A76">
        <w:rPr>
          <w:sz w:val="24"/>
          <w:szCs w:val="24"/>
          <w:lang w:val="lt-LT"/>
        </w:rPr>
        <w:t>,</w:t>
      </w:r>
      <w:r w:rsidRPr="00247DE9">
        <w:rPr>
          <w:sz w:val="24"/>
          <w:szCs w:val="24"/>
          <w:lang w:val="lt-LT"/>
        </w:rPr>
        <w:t xml:space="preserve"> sudarė – 303 tūkst. Eur. Pelnas gautas iš užsakomųjų reisų, siuntų vežimo, bagažo saugojimo, patalpų nuomos ir kitų vienkartinių veiklų sudarė 19 tūkst. Eur. Dotacija nuostoling</w:t>
      </w:r>
      <w:r w:rsidR="005C3A76">
        <w:rPr>
          <w:sz w:val="24"/>
          <w:szCs w:val="24"/>
          <w:lang w:val="lt-LT"/>
        </w:rPr>
        <w:t>iems</w:t>
      </w:r>
      <w:r w:rsidRPr="00247DE9">
        <w:rPr>
          <w:sz w:val="24"/>
          <w:szCs w:val="24"/>
          <w:lang w:val="lt-LT"/>
        </w:rPr>
        <w:t xml:space="preserve"> maršrut</w:t>
      </w:r>
      <w:r w:rsidR="005C3A76">
        <w:rPr>
          <w:sz w:val="24"/>
          <w:szCs w:val="24"/>
          <w:lang w:val="lt-LT"/>
        </w:rPr>
        <w:t>ams dengti</w:t>
      </w:r>
      <w:r w:rsidRPr="00247DE9">
        <w:rPr>
          <w:sz w:val="24"/>
          <w:szCs w:val="24"/>
          <w:lang w:val="lt-LT"/>
        </w:rPr>
        <w:t xml:space="preserve"> – 140 tūkst. Eur.</w:t>
      </w:r>
    </w:p>
    <w:p w14:paraId="0168F4B6" w14:textId="77777777" w:rsidR="00185B15" w:rsidRPr="00706BB8" w:rsidRDefault="00185B15" w:rsidP="00185B15">
      <w:pPr>
        <w:ind w:firstLine="709"/>
        <w:jc w:val="both"/>
        <w:rPr>
          <w:sz w:val="24"/>
          <w:szCs w:val="24"/>
          <w:lang w:val="lt-LT"/>
        </w:rPr>
      </w:pPr>
      <w:r w:rsidRPr="00247DE9">
        <w:rPr>
          <w:sz w:val="24"/>
          <w:szCs w:val="24"/>
          <w:lang w:val="lt-LT"/>
        </w:rPr>
        <w:t>Nuolat augantis individualių automobilių ir mažėjantis rajono gyventojų skaičius sąlygoja vis mažėjantį keleivių skaičių miesto ir priemiesčio maršrutų autobusuose. Taip pat mažėja pavežamų į mokymo įstaigas mokinių skaičius</w:t>
      </w:r>
      <w:r w:rsidRPr="00247DE9">
        <w:rPr>
          <w:i/>
          <w:sz w:val="24"/>
          <w:szCs w:val="24"/>
          <w:lang w:val="lt-LT"/>
        </w:rPr>
        <w:t xml:space="preserve">. </w:t>
      </w:r>
      <w:r w:rsidRPr="00247DE9">
        <w:rPr>
          <w:sz w:val="24"/>
          <w:szCs w:val="24"/>
          <w:lang w:val="lt-LT"/>
        </w:rPr>
        <w:t>Pagal 2020 m. lapkričio 27 d. sprendimą Nr. TS-284 lieka galioti 2019 m. birželio 28 d. Rokiškio rajono savivaldybės tarybos sprendimas TS-158 keleivių vežimo kelių transportu reguliariais reisais vietinio priemiesčio susisiekimo maršrutais patvirtintas tarifas – 0,11 Eur už vieną keleivio km be PVM. Patvirtintas tarifas yra 27 proc. mažesnis nei savikaina.</w:t>
      </w:r>
    </w:p>
    <w:p w14:paraId="328088EA" w14:textId="77777777" w:rsidR="00185B15" w:rsidRPr="00706BB8" w:rsidRDefault="00185B15" w:rsidP="00185B15">
      <w:pPr>
        <w:ind w:firstLine="720"/>
        <w:jc w:val="both"/>
        <w:rPr>
          <w:sz w:val="24"/>
          <w:szCs w:val="24"/>
          <w:lang w:val="lt-LT"/>
        </w:rPr>
      </w:pPr>
      <w:r w:rsidRPr="00247DE9">
        <w:rPr>
          <w:sz w:val="24"/>
          <w:szCs w:val="24"/>
          <w:lang w:val="lt-LT"/>
        </w:rPr>
        <w:t>Šios priežastys lėmė, kad priemiestiniuose maršrutuose surinktos pajamos nepadengė faktiškai patirtų sąnaudų. Nuostoliai patiriami vykdant būtinus visuomenei keleivinio kelių transporto viešųjų paslaugų įsipareigojimus ir pagal 2010 m. liepos 20 d. Lietuvos Respublikos Susisiekimo ministro įsakymą Nr. 3-457 patvirtintą susidariusių vietiniuose (miesto ir priemiesčio) maršrutuose nuostolių kompensavimo tvarką turi būti kompensuojami iš savivaldybės biudžeto.</w:t>
      </w:r>
    </w:p>
    <w:p w14:paraId="08114597" w14:textId="77777777" w:rsidR="00185B15" w:rsidRPr="00247DE9" w:rsidRDefault="00185B15" w:rsidP="00185B15">
      <w:pPr>
        <w:ind w:firstLine="720"/>
        <w:jc w:val="both"/>
        <w:rPr>
          <w:sz w:val="24"/>
          <w:szCs w:val="24"/>
        </w:rPr>
      </w:pPr>
      <w:r w:rsidRPr="00247DE9">
        <w:rPr>
          <w:sz w:val="24"/>
          <w:szCs w:val="24"/>
          <w:lang w:val="lt-LT"/>
        </w:rPr>
        <w:t>Ataskaitinių metų pabaigoje gautinos sumos sudaro 223 tūkst. Eur. Iš jų:</w:t>
      </w:r>
    </w:p>
    <w:p w14:paraId="19A762E6" w14:textId="77777777" w:rsidR="00185B15" w:rsidRPr="00247DE9" w:rsidRDefault="00185B15" w:rsidP="00185B15">
      <w:pPr>
        <w:numPr>
          <w:ilvl w:val="0"/>
          <w:numId w:val="16"/>
        </w:numPr>
        <w:suppressAutoHyphens/>
        <w:jc w:val="both"/>
        <w:rPr>
          <w:sz w:val="24"/>
          <w:szCs w:val="24"/>
        </w:rPr>
      </w:pPr>
      <w:r w:rsidRPr="00247DE9">
        <w:rPr>
          <w:sz w:val="24"/>
          <w:szCs w:val="24"/>
          <w:lang w:val="lt-LT"/>
        </w:rPr>
        <w:t>179 tūkst. Eur iš Rokiškio rajono savivaldybės pagal sutartį Nr. Nr. DS-4 už nuostolius;</w:t>
      </w:r>
    </w:p>
    <w:p w14:paraId="4589D3C1" w14:textId="77777777" w:rsidR="00185B15" w:rsidRPr="00247DE9" w:rsidRDefault="00185B15" w:rsidP="00185B15">
      <w:pPr>
        <w:numPr>
          <w:ilvl w:val="0"/>
          <w:numId w:val="16"/>
        </w:numPr>
        <w:suppressAutoHyphens/>
        <w:jc w:val="both"/>
        <w:rPr>
          <w:sz w:val="24"/>
          <w:szCs w:val="24"/>
        </w:rPr>
      </w:pPr>
      <w:r w:rsidRPr="00247DE9">
        <w:rPr>
          <w:sz w:val="24"/>
          <w:szCs w:val="24"/>
          <w:lang w:val="lt-LT"/>
        </w:rPr>
        <w:t>32 tūkst. Eur darbo užmokesčio subsidijos;</w:t>
      </w:r>
    </w:p>
    <w:p w14:paraId="538D6C2A" w14:textId="77777777" w:rsidR="00185B15" w:rsidRPr="00247DE9" w:rsidRDefault="00185B15" w:rsidP="00185B15">
      <w:pPr>
        <w:numPr>
          <w:ilvl w:val="0"/>
          <w:numId w:val="16"/>
        </w:numPr>
        <w:suppressAutoHyphens/>
        <w:jc w:val="both"/>
        <w:rPr>
          <w:sz w:val="24"/>
          <w:szCs w:val="24"/>
        </w:rPr>
      </w:pPr>
      <w:r w:rsidRPr="00247DE9">
        <w:rPr>
          <w:sz w:val="24"/>
          <w:szCs w:val="24"/>
          <w:lang w:val="lt-LT"/>
        </w:rPr>
        <w:t>7 tūkst. Eur sudaro pirkėjų įsiskolinimas;</w:t>
      </w:r>
    </w:p>
    <w:p w14:paraId="737B6FB4" w14:textId="77777777" w:rsidR="00185B15" w:rsidRPr="00247DE9" w:rsidRDefault="00185B15" w:rsidP="00185B15">
      <w:pPr>
        <w:numPr>
          <w:ilvl w:val="0"/>
          <w:numId w:val="16"/>
        </w:numPr>
        <w:suppressAutoHyphens/>
        <w:jc w:val="both"/>
        <w:rPr>
          <w:sz w:val="24"/>
          <w:szCs w:val="24"/>
        </w:rPr>
      </w:pPr>
      <w:r w:rsidRPr="00247DE9">
        <w:rPr>
          <w:sz w:val="24"/>
          <w:szCs w:val="24"/>
          <w:lang w:val="lt-LT"/>
        </w:rPr>
        <w:t>5 tūkst. Eur iš Rokiškio rajono savivaldybės dotacijos nuostoliams.</w:t>
      </w:r>
    </w:p>
    <w:p w14:paraId="61795489" w14:textId="77777777" w:rsidR="00185B15" w:rsidRPr="00247DE9" w:rsidRDefault="00185B15" w:rsidP="00185B15">
      <w:pPr>
        <w:ind w:firstLine="720"/>
        <w:jc w:val="both"/>
        <w:rPr>
          <w:sz w:val="24"/>
          <w:szCs w:val="24"/>
        </w:rPr>
      </w:pPr>
      <w:r w:rsidRPr="00247DE9">
        <w:rPr>
          <w:sz w:val="24"/>
          <w:szCs w:val="24"/>
          <w:lang w:val="lt-LT"/>
        </w:rPr>
        <w:t>Bendrovės mokėtinos sumos ir kiti įsipareigojimai ataskaitinių metų pabaigoje sudarė 380 tūkst. Eur. Iš jų:</w:t>
      </w:r>
    </w:p>
    <w:p w14:paraId="06ACE743" w14:textId="77777777" w:rsidR="00185B15" w:rsidRPr="00247DE9" w:rsidRDefault="00185B15" w:rsidP="00185B15">
      <w:pPr>
        <w:numPr>
          <w:ilvl w:val="0"/>
          <w:numId w:val="16"/>
        </w:numPr>
        <w:suppressAutoHyphens/>
        <w:jc w:val="both"/>
        <w:rPr>
          <w:sz w:val="24"/>
          <w:szCs w:val="24"/>
        </w:rPr>
      </w:pPr>
      <w:r w:rsidRPr="00247DE9">
        <w:rPr>
          <w:sz w:val="24"/>
          <w:szCs w:val="24"/>
          <w:lang w:val="lt-LT"/>
        </w:rPr>
        <w:t>125 tūkst. Eur mokėtinos sumos po vienerių metų:</w:t>
      </w:r>
    </w:p>
    <w:p w14:paraId="3230A080" w14:textId="77777777" w:rsidR="00185B15" w:rsidRPr="00247DE9" w:rsidRDefault="00185B15" w:rsidP="00185B15">
      <w:pPr>
        <w:numPr>
          <w:ilvl w:val="0"/>
          <w:numId w:val="17"/>
        </w:numPr>
        <w:suppressAutoHyphens/>
        <w:jc w:val="both"/>
        <w:rPr>
          <w:sz w:val="24"/>
          <w:szCs w:val="24"/>
        </w:rPr>
      </w:pPr>
      <w:r w:rsidRPr="00247DE9">
        <w:rPr>
          <w:sz w:val="24"/>
          <w:szCs w:val="24"/>
          <w:lang w:val="lt-LT"/>
        </w:rPr>
        <w:t>66 tūkst. Eur atidėtas valstybinio socialinio draudimo įmokų įsiskolinimas;</w:t>
      </w:r>
    </w:p>
    <w:p w14:paraId="0E8A19F5" w14:textId="77777777" w:rsidR="00185B15" w:rsidRPr="00247DE9" w:rsidRDefault="00185B15" w:rsidP="00185B15">
      <w:pPr>
        <w:numPr>
          <w:ilvl w:val="0"/>
          <w:numId w:val="17"/>
        </w:numPr>
        <w:suppressAutoHyphens/>
        <w:jc w:val="both"/>
        <w:rPr>
          <w:sz w:val="24"/>
          <w:szCs w:val="24"/>
        </w:rPr>
      </w:pPr>
      <w:r w:rsidRPr="00247DE9">
        <w:rPr>
          <w:sz w:val="24"/>
          <w:szCs w:val="24"/>
          <w:lang w:val="lt-LT"/>
        </w:rPr>
        <w:t>59 tūkst. Eur įsiskolinimas už lizingo paslaugas;</w:t>
      </w:r>
    </w:p>
    <w:p w14:paraId="63127C1B" w14:textId="77777777" w:rsidR="00185B15" w:rsidRPr="00247DE9" w:rsidRDefault="00185B15" w:rsidP="00185B15">
      <w:pPr>
        <w:numPr>
          <w:ilvl w:val="0"/>
          <w:numId w:val="16"/>
        </w:numPr>
        <w:suppressAutoHyphens/>
        <w:jc w:val="both"/>
        <w:rPr>
          <w:sz w:val="24"/>
          <w:szCs w:val="24"/>
        </w:rPr>
      </w:pPr>
      <w:r w:rsidRPr="00247DE9">
        <w:rPr>
          <w:sz w:val="24"/>
          <w:szCs w:val="24"/>
          <w:lang w:val="lt-LT"/>
        </w:rPr>
        <w:t>255 tūkst. Eur mokėtinos sumos per vienerius metus:</w:t>
      </w:r>
    </w:p>
    <w:p w14:paraId="5730092D" w14:textId="77777777" w:rsidR="00185B15" w:rsidRPr="00247DE9" w:rsidRDefault="00185B15" w:rsidP="00185B15">
      <w:pPr>
        <w:numPr>
          <w:ilvl w:val="0"/>
          <w:numId w:val="17"/>
        </w:numPr>
        <w:suppressAutoHyphens/>
        <w:jc w:val="both"/>
        <w:rPr>
          <w:sz w:val="24"/>
          <w:szCs w:val="24"/>
        </w:rPr>
      </w:pPr>
      <w:r w:rsidRPr="00247DE9">
        <w:rPr>
          <w:sz w:val="24"/>
          <w:szCs w:val="24"/>
          <w:lang w:val="lt-LT"/>
        </w:rPr>
        <w:t>195 tūkst. Eur su darbo santykiais susiję įsipareigojimai;</w:t>
      </w:r>
    </w:p>
    <w:p w14:paraId="68DCD65E" w14:textId="77777777" w:rsidR="00185B15" w:rsidRPr="00247DE9" w:rsidRDefault="00185B15" w:rsidP="00185B15">
      <w:pPr>
        <w:numPr>
          <w:ilvl w:val="0"/>
          <w:numId w:val="17"/>
        </w:numPr>
        <w:suppressAutoHyphens/>
        <w:jc w:val="both"/>
        <w:rPr>
          <w:sz w:val="24"/>
          <w:szCs w:val="24"/>
        </w:rPr>
      </w:pPr>
      <w:r w:rsidRPr="00247DE9">
        <w:rPr>
          <w:sz w:val="24"/>
          <w:szCs w:val="24"/>
          <w:lang w:val="lt-LT"/>
        </w:rPr>
        <w:t>32 tūkst. Eur įsiskolinimas tiekėjams už paslaugas/prekes;</w:t>
      </w:r>
    </w:p>
    <w:p w14:paraId="7B18B7E0" w14:textId="77777777" w:rsidR="00185B15" w:rsidRPr="00247DE9" w:rsidRDefault="00185B15" w:rsidP="00185B15">
      <w:pPr>
        <w:numPr>
          <w:ilvl w:val="0"/>
          <w:numId w:val="17"/>
        </w:numPr>
        <w:suppressAutoHyphens/>
        <w:jc w:val="both"/>
        <w:rPr>
          <w:sz w:val="24"/>
          <w:szCs w:val="24"/>
        </w:rPr>
      </w:pPr>
      <w:r w:rsidRPr="00247DE9">
        <w:rPr>
          <w:sz w:val="24"/>
          <w:szCs w:val="24"/>
          <w:lang w:val="lt-LT"/>
        </w:rPr>
        <w:t>26 tūkst. Eur įsiskolinimas už lizingo paslaugas;</w:t>
      </w:r>
    </w:p>
    <w:p w14:paraId="7E530382" w14:textId="77777777" w:rsidR="00185B15" w:rsidRPr="00247DE9" w:rsidRDefault="00185B15" w:rsidP="00185B15">
      <w:pPr>
        <w:numPr>
          <w:ilvl w:val="0"/>
          <w:numId w:val="17"/>
        </w:numPr>
        <w:suppressAutoHyphens/>
        <w:jc w:val="both"/>
        <w:rPr>
          <w:sz w:val="24"/>
          <w:szCs w:val="24"/>
        </w:rPr>
      </w:pPr>
      <w:r w:rsidRPr="00247DE9">
        <w:rPr>
          <w:sz w:val="24"/>
          <w:szCs w:val="24"/>
          <w:lang w:val="lt-LT"/>
        </w:rPr>
        <w:t>2 tūkst. Eur kitos mokėtinos sumos.</w:t>
      </w:r>
    </w:p>
    <w:p w14:paraId="7C7C641F" w14:textId="1D3FC7C8" w:rsidR="00185B15" w:rsidRPr="00247DE9" w:rsidRDefault="00185B15" w:rsidP="00247DE9">
      <w:pPr>
        <w:ind w:firstLine="720"/>
        <w:jc w:val="both"/>
        <w:rPr>
          <w:sz w:val="24"/>
          <w:szCs w:val="24"/>
        </w:rPr>
      </w:pPr>
      <w:r w:rsidRPr="00247DE9">
        <w:rPr>
          <w:sz w:val="24"/>
          <w:szCs w:val="24"/>
          <w:lang w:val="lt-LT"/>
        </w:rPr>
        <w:t>Detalesnė Bendrovės pajamų ir sąnaudų struktūra bei jų pokyčiai, informacija apie turtą, nuosavą kapitalą, įsipareigojimus pagal 2020 m. gruodžio 31 d. duomenis ir jų pokyčius lyginant su praėjusiu ataskaitiniu laikotarpiu yra pateikiami 2020 m. gruodžio 31 d. finansinių ataskaitų rinkinyje.</w:t>
      </w:r>
      <w:r w:rsidRPr="00247DE9">
        <w:rPr>
          <w:sz w:val="24"/>
          <w:szCs w:val="24"/>
          <w:lang w:val="lt-LT"/>
        </w:rPr>
        <w:tab/>
      </w:r>
    </w:p>
    <w:p w14:paraId="4B19E59C" w14:textId="77777777" w:rsidR="00185B15" w:rsidRPr="00247DE9" w:rsidRDefault="00185B15" w:rsidP="00185B15">
      <w:pPr>
        <w:ind w:firstLine="720"/>
        <w:jc w:val="both"/>
        <w:rPr>
          <w:sz w:val="24"/>
          <w:szCs w:val="24"/>
          <w:lang w:val="en-US"/>
        </w:rPr>
      </w:pPr>
      <w:r w:rsidRPr="00247DE9">
        <w:rPr>
          <w:sz w:val="24"/>
          <w:szCs w:val="24"/>
          <w:lang w:val="lt-LT"/>
        </w:rPr>
        <w:t>Bendrovės veiklą galima vertinti pagal finansinius rodiklius ir jų kitimo tendencijas:</w:t>
      </w:r>
    </w:p>
    <w:p w14:paraId="3B8A5E53" w14:textId="77777777" w:rsidR="00185B15" w:rsidRPr="00247DE9" w:rsidRDefault="00185B15" w:rsidP="00185B15">
      <w:pPr>
        <w:jc w:val="both"/>
        <w:rPr>
          <w:sz w:val="24"/>
          <w:szCs w:val="24"/>
        </w:rPr>
      </w:pPr>
      <w:r w:rsidRPr="00247DE9">
        <w:rPr>
          <w:sz w:val="24"/>
          <w:szCs w:val="24"/>
          <w:lang w:val="lt-LT"/>
        </w:rPr>
        <w:tab/>
      </w:r>
    </w:p>
    <w:tbl>
      <w:tblPr>
        <w:tblW w:w="0" w:type="auto"/>
        <w:tblInd w:w="73" w:type="dxa"/>
        <w:tblLayout w:type="fixed"/>
        <w:tblLook w:val="04A0" w:firstRow="1" w:lastRow="0" w:firstColumn="1" w:lastColumn="0" w:noHBand="0" w:noVBand="1"/>
      </w:tblPr>
      <w:tblGrid>
        <w:gridCol w:w="2368"/>
        <w:gridCol w:w="2325"/>
        <w:gridCol w:w="894"/>
        <w:gridCol w:w="807"/>
        <w:gridCol w:w="851"/>
        <w:gridCol w:w="2449"/>
      </w:tblGrid>
      <w:tr w:rsidR="00185B15" w:rsidRPr="00247DE9" w14:paraId="153189B0" w14:textId="77777777" w:rsidTr="00185B15">
        <w:trPr>
          <w:trHeight w:val="510"/>
        </w:trPr>
        <w:tc>
          <w:tcPr>
            <w:tcW w:w="2368" w:type="dxa"/>
            <w:tcBorders>
              <w:top w:val="single" w:sz="4" w:space="0" w:color="000000"/>
              <w:left w:val="single" w:sz="4" w:space="0" w:color="000000"/>
              <w:bottom w:val="single" w:sz="4" w:space="0" w:color="000000"/>
              <w:right w:val="nil"/>
            </w:tcBorders>
            <w:vAlign w:val="center"/>
            <w:hideMark/>
          </w:tcPr>
          <w:p w14:paraId="46516906" w14:textId="77777777" w:rsidR="00185B15" w:rsidRPr="00247DE9" w:rsidRDefault="00185B15">
            <w:pPr>
              <w:suppressAutoHyphens/>
              <w:jc w:val="center"/>
              <w:rPr>
                <w:sz w:val="24"/>
                <w:szCs w:val="24"/>
                <w:lang w:val="lt-LT" w:eastAsia="zh-CN"/>
              </w:rPr>
            </w:pPr>
            <w:r w:rsidRPr="00247DE9">
              <w:rPr>
                <w:b/>
                <w:bCs/>
                <w:sz w:val="24"/>
                <w:szCs w:val="24"/>
                <w:lang w:val="lt-LT"/>
              </w:rPr>
              <w:t>Rodiklio pavadinimas</w:t>
            </w:r>
          </w:p>
        </w:tc>
        <w:tc>
          <w:tcPr>
            <w:tcW w:w="2325" w:type="dxa"/>
            <w:tcBorders>
              <w:top w:val="single" w:sz="4" w:space="0" w:color="000000"/>
              <w:left w:val="single" w:sz="4" w:space="0" w:color="000000"/>
              <w:bottom w:val="single" w:sz="4" w:space="0" w:color="000000"/>
              <w:right w:val="nil"/>
            </w:tcBorders>
            <w:vAlign w:val="center"/>
            <w:hideMark/>
          </w:tcPr>
          <w:p w14:paraId="3C36E0F9" w14:textId="77777777" w:rsidR="00185B15" w:rsidRPr="00247DE9" w:rsidRDefault="00185B15">
            <w:pPr>
              <w:suppressAutoHyphens/>
              <w:jc w:val="center"/>
              <w:rPr>
                <w:sz w:val="24"/>
                <w:szCs w:val="24"/>
                <w:lang w:val="lt-LT" w:eastAsia="zh-CN"/>
              </w:rPr>
            </w:pPr>
            <w:r w:rsidRPr="00247DE9">
              <w:rPr>
                <w:b/>
                <w:bCs/>
                <w:sz w:val="24"/>
                <w:szCs w:val="24"/>
                <w:lang w:val="lt-LT"/>
              </w:rPr>
              <w:t>Rodiklio skaičiavimo formulė</w:t>
            </w:r>
          </w:p>
        </w:tc>
        <w:tc>
          <w:tcPr>
            <w:tcW w:w="894" w:type="dxa"/>
            <w:tcBorders>
              <w:top w:val="single" w:sz="4" w:space="0" w:color="000000"/>
              <w:left w:val="single" w:sz="4" w:space="0" w:color="000000"/>
              <w:bottom w:val="single" w:sz="4" w:space="0" w:color="000000"/>
              <w:right w:val="nil"/>
            </w:tcBorders>
            <w:vAlign w:val="center"/>
            <w:hideMark/>
          </w:tcPr>
          <w:p w14:paraId="20618979" w14:textId="77777777" w:rsidR="00185B15" w:rsidRPr="00247DE9" w:rsidRDefault="00185B15">
            <w:pPr>
              <w:suppressAutoHyphens/>
              <w:jc w:val="center"/>
              <w:rPr>
                <w:sz w:val="24"/>
                <w:szCs w:val="24"/>
                <w:lang w:val="lt-LT" w:eastAsia="zh-CN"/>
              </w:rPr>
            </w:pPr>
            <w:r w:rsidRPr="00247DE9">
              <w:rPr>
                <w:b/>
                <w:bCs/>
                <w:sz w:val="24"/>
                <w:szCs w:val="24"/>
                <w:lang w:val="lt-LT"/>
              </w:rPr>
              <w:t>2018 metai</w:t>
            </w:r>
          </w:p>
        </w:tc>
        <w:tc>
          <w:tcPr>
            <w:tcW w:w="807" w:type="dxa"/>
            <w:tcBorders>
              <w:top w:val="single" w:sz="4" w:space="0" w:color="000000"/>
              <w:left w:val="single" w:sz="4" w:space="0" w:color="000000"/>
              <w:bottom w:val="single" w:sz="4" w:space="0" w:color="000000"/>
              <w:right w:val="nil"/>
            </w:tcBorders>
            <w:vAlign w:val="center"/>
            <w:hideMark/>
          </w:tcPr>
          <w:p w14:paraId="58E3B8B4" w14:textId="77777777" w:rsidR="00185B15" w:rsidRPr="00247DE9" w:rsidRDefault="00185B15">
            <w:pPr>
              <w:suppressAutoHyphens/>
              <w:jc w:val="center"/>
              <w:rPr>
                <w:sz w:val="24"/>
                <w:szCs w:val="24"/>
                <w:lang w:val="lt-LT" w:eastAsia="zh-CN"/>
              </w:rPr>
            </w:pPr>
            <w:r w:rsidRPr="00247DE9">
              <w:rPr>
                <w:b/>
                <w:bCs/>
                <w:sz w:val="24"/>
                <w:szCs w:val="24"/>
                <w:lang w:val="lt-LT"/>
              </w:rPr>
              <w:t>2019 metai</w:t>
            </w:r>
          </w:p>
        </w:tc>
        <w:tc>
          <w:tcPr>
            <w:tcW w:w="851" w:type="dxa"/>
            <w:tcBorders>
              <w:top w:val="single" w:sz="4" w:space="0" w:color="000000"/>
              <w:left w:val="single" w:sz="4" w:space="0" w:color="000000"/>
              <w:bottom w:val="single" w:sz="4" w:space="0" w:color="000000"/>
              <w:right w:val="nil"/>
            </w:tcBorders>
            <w:vAlign w:val="center"/>
            <w:hideMark/>
          </w:tcPr>
          <w:p w14:paraId="3331B1C0" w14:textId="77777777" w:rsidR="00185B15" w:rsidRPr="00247DE9" w:rsidRDefault="00185B15">
            <w:pPr>
              <w:suppressAutoHyphens/>
              <w:jc w:val="center"/>
              <w:rPr>
                <w:sz w:val="24"/>
                <w:szCs w:val="24"/>
                <w:lang w:val="lt-LT" w:eastAsia="zh-CN"/>
              </w:rPr>
            </w:pPr>
            <w:r w:rsidRPr="00247DE9">
              <w:rPr>
                <w:b/>
                <w:bCs/>
                <w:sz w:val="24"/>
                <w:szCs w:val="24"/>
                <w:lang w:val="lt-LT"/>
              </w:rPr>
              <w:t>2020 metai</w:t>
            </w:r>
          </w:p>
        </w:tc>
        <w:tc>
          <w:tcPr>
            <w:tcW w:w="2449" w:type="dxa"/>
            <w:tcBorders>
              <w:top w:val="single" w:sz="4" w:space="0" w:color="000000"/>
              <w:left w:val="single" w:sz="4" w:space="0" w:color="000000"/>
              <w:bottom w:val="single" w:sz="4" w:space="0" w:color="000000"/>
              <w:right w:val="single" w:sz="4" w:space="0" w:color="000000"/>
            </w:tcBorders>
            <w:vAlign w:val="center"/>
            <w:hideMark/>
          </w:tcPr>
          <w:p w14:paraId="147CDCDB" w14:textId="77777777" w:rsidR="00185B15" w:rsidRPr="00247DE9" w:rsidRDefault="00185B15">
            <w:pPr>
              <w:suppressAutoHyphens/>
              <w:jc w:val="center"/>
              <w:rPr>
                <w:sz w:val="24"/>
                <w:szCs w:val="24"/>
                <w:lang w:val="lt-LT" w:eastAsia="zh-CN"/>
              </w:rPr>
            </w:pPr>
            <w:r w:rsidRPr="00247DE9">
              <w:rPr>
                <w:b/>
                <w:bCs/>
                <w:sz w:val="24"/>
                <w:szCs w:val="24"/>
                <w:lang w:val="lt-LT"/>
              </w:rPr>
              <w:t>Paaiškinimas</w:t>
            </w:r>
          </w:p>
        </w:tc>
      </w:tr>
      <w:tr w:rsidR="00185B15" w:rsidRPr="00247DE9" w14:paraId="354F07F8" w14:textId="77777777" w:rsidTr="00185B15">
        <w:trPr>
          <w:trHeight w:val="255"/>
        </w:trPr>
        <w:tc>
          <w:tcPr>
            <w:tcW w:w="9694" w:type="dxa"/>
            <w:gridSpan w:val="6"/>
            <w:tcBorders>
              <w:top w:val="single" w:sz="4" w:space="0" w:color="000000"/>
              <w:left w:val="single" w:sz="4" w:space="0" w:color="000000"/>
              <w:bottom w:val="single" w:sz="4" w:space="0" w:color="000000"/>
              <w:right w:val="single" w:sz="4" w:space="0" w:color="000000"/>
            </w:tcBorders>
            <w:vAlign w:val="center"/>
            <w:hideMark/>
          </w:tcPr>
          <w:p w14:paraId="287BED65" w14:textId="77777777" w:rsidR="00185B15" w:rsidRPr="00247DE9" w:rsidRDefault="00185B15">
            <w:pPr>
              <w:suppressAutoHyphens/>
              <w:jc w:val="center"/>
              <w:rPr>
                <w:sz w:val="24"/>
                <w:szCs w:val="24"/>
                <w:lang w:val="lt-LT" w:eastAsia="zh-CN"/>
              </w:rPr>
            </w:pPr>
            <w:r w:rsidRPr="00247DE9">
              <w:rPr>
                <w:b/>
                <w:bCs/>
                <w:sz w:val="24"/>
                <w:szCs w:val="24"/>
                <w:lang w:val="lt-LT"/>
              </w:rPr>
              <w:t>Pelningumo rodiklis</w:t>
            </w:r>
          </w:p>
        </w:tc>
      </w:tr>
      <w:tr w:rsidR="00185B15" w:rsidRPr="00247DE9" w14:paraId="778C5A21" w14:textId="77777777" w:rsidTr="00185B15">
        <w:trPr>
          <w:trHeight w:val="1020"/>
        </w:trPr>
        <w:tc>
          <w:tcPr>
            <w:tcW w:w="2368" w:type="dxa"/>
            <w:tcBorders>
              <w:top w:val="nil"/>
              <w:left w:val="single" w:sz="4" w:space="0" w:color="000000"/>
              <w:bottom w:val="single" w:sz="4" w:space="0" w:color="000000"/>
              <w:right w:val="nil"/>
            </w:tcBorders>
            <w:vAlign w:val="center"/>
            <w:hideMark/>
          </w:tcPr>
          <w:p w14:paraId="33F18B7D" w14:textId="77777777" w:rsidR="00185B15" w:rsidRPr="00247DE9" w:rsidRDefault="00185B15">
            <w:pPr>
              <w:suppressAutoHyphens/>
              <w:jc w:val="center"/>
              <w:rPr>
                <w:sz w:val="24"/>
                <w:szCs w:val="24"/>
                <w:lang w:val="lt-LT" w:eastAsia="zh-CN"/>
              </w:rPr>
            </w:pPr>
            <w:r w:rsidRPr="00247DE9">
              <w:rPr>
                <w:sz w:val="24"/>
                <w:szCs w:val="24"/>
                <w:lang w:val="lt-LT"/>
              </w:rPr>
              <w:t>Bendras pelningumas, %</w:t>
            </w:r>
          </w:p>
        </w:tc>
        <w:tc>
          <w:tcPr>
            <w:tcW w:w="2325" w:type="dxa"/>
            <w:tcBorders>
              <w:top w:val="nil"/>
              <w:left w:val="single" w:sz="4" w:space="0" w:color="000000"/>
              <w:bottom w:val="single" w:sz="4" w:space="0" w:color="000000"/>
              <w:right w:val="nil"/>
            </w:tcBorders>
            <w:vAlign w:val="center"/>
            <w:hideMark/>
          </w:tcPr>
          <w:p w14:paraId="5480FE72" w14:textId="77777777" w:rsidR="00185B15" w:rsidRPr="00247DE9" w:rsidRDefault="00185B15">
            <w:pPr>
              <w:suppressAutoHyphens/>
              <w:jc w:val="center"/>
              <w:rPr>
                <w:sz w:val="24"/>
                <w:szCs w:val="24"/>
                <w:lang w:val="lt-LT" w:eastAsia="zh-CN"/>
              </w:rPr>
            </w:pPr>
            <w:r w:rsidRPr="00247DE9">
              <w:rPr>
                <w:sz w:val="24"/>
                <w:szCs w:val="24"/>
                <w:lang w:val="lt-LT"/>
              </w:rPr>
              <w:t>Bendras pelnas/pardavimo pajamos</w:t>
            </w:r>
          </w:p>
        </w:tc>
        <w:tc>
          <w:tcPr>
            <w:tcW w:w="894" w:type="dxa"/>
            <w:tcBorders>
              <w:top w:val="nil"/>
              <w:left w:val="single" w:sz="4" w:space="0" w:color="000000"/>
              <w:bottom w:val="single" w:sz="4" w:space="0" w:color="000000"/>
              <w:right w:val="nil"/>
            </w:tcBorders>
            <w:vAlign w:val="center"/>
            <w:hideMark/>
          </w:tcPr>
          <w:p w14:paraId="73AE328E" w14:textId="77777777" w:rsidR="00185B15" w:rsidRPr="00247DE9" w:rsidRDefault="00185B15">
            <w:pPr>
              <w:suppressAutoHyphens/>
              <w:jc w:val="center"/>
              <w:rPr>
                <w:sz w:val="24"/>
                <w:szCs w:val="24"/>
                <w:lang w:val="lt-LT" w:eastAsia="zh-CN"/>
              </w:rPr>
            </w:pPr>
            <w:r w:rsidRPr="00247DE9">
              <w:rPr>
                <w:sz w:val="24"/>
                <w:szCs w:val="24"/>
                <w:lang w:val="lt-LT"/>
              </w:rPr>
              <w:t>23,80</w:t>
            </w:r>
          </w:p>
        </w:tc>
        <w:tc>
          <w:tcPr>
            <w:tcW w:w="807" w:type="dxa"/>
            <w:tcBorders>
              <w:top w:val="nil"/>
              <w:left w:val="single" w:sz="4" w:space="0" w:color="000000"/>
              <w:bottom w:val="single" w:sz="4" w:space="0" w:color="000000"/>
              <w:right w:val="nil"/>
            </w:tcBorders>
            <w:vAlign w:val="center"/>
            <w:hideMark/>
          </w:tcPr>
          <w:p w14:paraId="7CD654F0" w14:textId="77777777" w:rsidR="00185B15" w:rsidRPr="00247DE9" w:rsidRDefault="00185B15">
            <w:pPr>
              <w:suppressAutoHyphens/>
              <w:jc w:val="center"/>
              <w:rPr>
                <w:sz w:val="24"/>
                <w:szCs w:val="24"/>
                <w:lang w:val="lt-LT" w:eastAsia="zh-CN"/>
              </w:rPr>
            </w:pPr>
            <w:r w:rsidRPr="00247DE9">
              <w:rPr>
                <w:sz w:val="24"/>
                <w:szCs w:val="24"/>
                <w:lang w:val="lt-LT"/>
              </w:rPr>
              <w:t>26,20</w:t>
            </w:r>
          </w:p>
        </w:tc>
        <w:tc>
          <w:tcPr>
            <w:tcW w:w="851" w:type="dxa"/>
            <w:tcBorders>
              <w:top w:val="nil"/>
              <w:left w:val="single" w:sz="4" w:space="0" w:color="000000"/>
              <w:bottom w:val="single" w:sz="4" w:space="0" w:color="000000"/>
              <w:right w:val="nil"/>
            </w:tcBorders>
            <w:vAlign w:val="center"/>
            <w:hideMark/>
          </w:tcPr>
          <w:p w14:paraId="458575FF" w14:textId="77777777" w:rsidR="00185B15" w:rsidRPr="00247DE9" w:rsidRDefault="00185B15">
            <w:pPr>
              <w:suppressAutoHyphens/>
              <w:jc w:val="center"/>
              <w:rPr>
                <w:sz w:val="24"/>
                <w:szCs w:val="24"/>
                <w:lang w:val="lt-LT" w:eastAsia="zh-CN"/>
              </w:rPr>
            </w:pPr>
            <w:r w:rsidRPr="00247DE9">
              <w:rPr>
                <w:sz w:val="24"/>
                <w:szCs w:val="24"/>
                <w:lang w:val="lt-LT"/>
              </w:rPr>
              <w:t>16,37</w:t>
            </w:r>
          </w:p>
        </w:tc>
        <w:tc>
          <w:tcPr>
            <w:tcW w:w="2449" w:type="dxa"/>
            <w:tcBorders>
              <w:top w:val="nil"/>
              <w:left w:val="single" w:sz="4" w:space="0" w:color="000000"/>
              <w:bottom w:val="single" w:sz="4" w:space="0" w:color="000000"/>
              <w:right w:val="single" w:sz="4" w:space="0" w:color="000000"/>
            </w:tcBorders>
            <w:vAlign w:val="bottom"/>
            <w:hideMark/>
          </w:tcPr>
          <w:p w14:paraId="2C0C8663" w14:textId="77777777" w:rsidR="00185B15" w:rsidRPr="00247DE9" w:rsidRDefault="00185B15">
            <w:pPr>
              <w:suppressAutoHyphens/>
              <w:rPr>
                <w:sz w:val="24"/>
                <w:szCs w:val="24"/>
                <w:lang w:val="lt-LT" w:eastAsia="zh-CN"/>
              </w:rPr>
            </w:pPr>
            <w:r w:rsidRPr="00247DE9">
              <w:rPr>
                <w:sz w:val="24"/>
                <w:szCs w:val="24"/>
                <w:lang w:val="lt-LT"/>
              </w:rPr>
              <w:t xml:space="preserve">Vertinimai: geras &gt;15%, vidutinis &lt;15%. Bendrovės rodiklis (&gt;15%) - geras. </w:t>
            </w:r>
          </w:p>
        </w:tc>
      </w:tr>
      <w:tr w:rsidR="00185B15" w:rsidRPr="00247DE9" w14:paraId="3B83050D" w14:textId="77777777" w:rsidTr="00185B15">
        <w:trPr>
          <w:trHeight w:val="255"/>
        </w:trPr>
        <w:tc>
          <w:tcPr>
            <w:tcW w:w="9694" w:type="dxa"/>
            <w:gridSpan w:val="6"/>
            <w:tcBorders>
              <w:top w:val="single" w:sz="4" w:space="0" w:color="000000"/>
              <w:left w:val="single" w:sz="4" w:space="0" w:color="000000"/>
              <w:bottom w:val="single" w:sz="4" w:space="0" w:color="000000"/>
              <w:right w:val="single" w:sz="4" w:space="0" w:color="000000"/>
            </w:tcBorders>
            <w:vAlign w:val="center"/>
            <w:hideMark/>
          </w:tcPr>
          <w:p w14:paraId="5E6A9FD8" w14:textId="77777777" w:rsidR="00185B15" w:rsidRPr="00247DE9" w:rsidRDefault="00185B15">
            <w:pPr>
              <w:suppressAutoHyphens/>
              <w:jc w:val="center"/>
              <w:rPr>
                <w:sz w:val="24"/>
                <w:szCs w:val="24"/>
                <w:lang w:val="lt-LT" w:eastAsia="zh-CN"/>
              </w:rPr>
            </w:pPr>
            <w:r w:rsidRPr="00247DE9">
              <w:rPr>
                <w:b/>
                <w:bCs/>
                <w:sz w:val="24"/>
                <w:szCs w:val="24"/>
                <w:lang w:val="lt-LT"/>
              </w:rPr>
              <w:t>Finansinio sverto rodikliai</w:t>
            </w:r>
          </w:p>
        </w:tc>
      </w:tr>
      <w:tr w:rsidR="00185B15" w:rsidRPr="00247DE9" w14:paraId="13B1FBE5" w14:textId="77777777" w:rsidTr="00185B15">
        <w:trPr>
          <w:trHeight w:val="765"/>
        </w:trPr>
        <w:tc>
          <w:tcPr>
            <w:tcW w:w="2368" w:type="dxa"/>
            <w:tcBorders>
              <w:top w:val="nil"/>
              <w:left w:val="single" w:sz="4" w:space="0" w:color="000000"/>
              <w:bottom w:val="single" w:sz="4" w:space="0" w:color="000000"/>
              <w:right w:val="nil"/>
            </w:tcBorders>
            <w:vAlign w:val="center"/>
            <w:hideMark/>
          </w:tcPr>
          <w:p w14:paraId="2C65868F" w14:textId="77777777" w:rsidR="00185B15" w:rsidRPr="00247DE9" w:rsidRDefault="00185B15">
            <w:pPr>
              <w:suppressAutoHyphens/>
              <w:jc w:val="center"/>
              <w:rPr>
                <w:sz w:val="24"/>
                <w:szCs w:val="24"/>
                <w:lang w:val="lt-LT" w:eastAsia="zh-CN"/>
              </w:rPr>
            </w:pPr>
            <w:r w:rsidRPr="00247DE9">
              <w:rPr>
                <w:sz w:val="24"/>
                <w:szCs w:val="24"/>
                <w:lang w:val="lt-LT"/>
              </w:rPr>
              <w:lastRenderedPageBreak/>
              <w:t>Bendrasis mokumo koeficientas</w:t>
            </w:r>
          </w:p>
        </w:tc>
        <w:tc>
          <w:tcPr>
            <w:tcW w:w="2325" w:type="dxa"/>
            <w:tcBorders>
              <w:top w:val="nil"/>
              <w:left w:val="single" w:sz="4" w:space="0" w:color="000000"/>
              <w:bottom w:val="single" w:sz="4" w:space="0" w:color="000000"/>
              <w:right w:val="nil"/>
            </w:tcBorders>
            <w:vAlign w:val="center"/>
            <w:hideMark/>
          </w:tcPr>
          <w:p w14:paraId="4DE7F6B0" w14:textId="77777777" w:rsidR="00185B15" w:rsidRPr="00247DE9" w:rsidRDefault="00185B15">
            <w:pPr>
              <w:suppressAutoHyphens/>
              <w:jc w:val="center"/>
              <w:rPr>
                <w:sz w:val="24"/>
                <w:szCs w:val="24"/>
                <w:lang w:val="lt-LT" w:eastAsia="zh-CN"/>
              </w:rPr>
            </w:pPr>
            <w:r w:rsidRPr="00247DE9">
              <w:rPr>
                <w:sz w:val="24"/>
                <w:szCs w:val="24"/>
                <w:lang w:val="lt-LT"/>
              </w:rPr>
              <w:t>Nuosavas kapitalas/mokėtinos sumos ir kiti įsipareigojimai</w:t>
            </w:r>
          </w:p>
        </w:tc>
        <w:tc>
          <w:tcPr>
            <w:tcW w:w="894" w:type="dxa"/>
            <w:tcBorders>
              <w:top w:val="nil"/>
              <w:left w:val="single" w:sz="4" w:space="0" w:color="000000"/>
              <w:bottom w:val="single" w:sz="4" w:space="0" w:color="000000"/>
              <w:right w:val="nil"/>
            </w:tcBorders>
            <w:vAlign w:val="center"/>
            <w:hideMark/>
          </w:tcPr>
          <w:p w14:paraId="56EF9680" w14:textId="77777777" w:rsidR="00185B15" w:rsidRPr="00247DE9" w:rsidRDefault="00185B15">
            <w:pPr>
              <w:suppressAutoHyphens/>
              <w:jc w:val="center"/>
              <w:rPr>
                <w:sz w:val="24"/>
                <w:szCs w:val="24"/>
                <w:lang w:val="lt-LT" w:eastAsia="zh-CN"/>
              </w:rPr>
            </w:pPr>
            <w:r w:rsidRPr="00247DE9">
              <w:rPr>
                <w:sz w:val="24"/>
                <w:szCs w:val="24"/>
                <w:lang w:val="lt-LT"/>
              </w:rPr>
              <w:t>0,88</w:t>
            </w:r>
          </w:p>
        </w:tc>
        <w:tc>
          <w:tcPr>
            <w:tcW w:w="807" w:type="dxa"/>
            <w:tcBorders>
              <w:top w:val="nil"/>
              <w:left w:val="single" w:sz="4" w:space="0" w:color="000000"/>
              <w:bottom w:val="single" w:sz="4" w:space="0" w:color="000000"/>
              <w:right w:val="nil"/>
            </w:tcBorders>
            <w:vAlign w:val="center"/>
            <w:hideMark/>
          </w:tcPr>
          <w:p w14:paraId="406DA12A" w14:textId="77777777" w:rsidR="00185B15" w:rsidRPr="00247DE9" w:rsidRDefault="00185B15">
            <w:pPr>
              <w:suppressAutoHyphens/>
              <w:jc w:val="center"/>
              <w:rPr>
                <w:sz w:val="24"/>
                <w:szCs w:val="24"/>
                <w:lang w:val="lt-LT" w:eastAsia="zh-CN"/>
              </w:rPr>
            </w:pPr>
            <w:r w:rsidRPr="00247DE9">
              <w:rPr>
                <w:sz w:val="24"/>
                <w:szCs w:val="24"/>
                <w:lang w:val="lt-LT"/>
              </w:rPr>
              <w:t>0,86</w:t>
            </w:r>
          </w:p>
        </w:tc>
        <w:tc>
          <w:tcPr>
            <w:tcW w:w="851" w:type="dxa"/>
            <w:tcBorders>
              <w:top w:val="nil"/>
              <w:left w:val="single" w:sz="4" w:space="0" w:color="000000"/>
              <w:bottom w:val="single" w:sz="4" w:space="0" w:color="000000"/>
              <w:right w:val="nil"/>
            </w:tcBorders>
            <w:vAlign w:val="center"/>
            <w:hideMark/>
          </w:tcPr>
          <w:p w14:paraId="48CC9AFA" w14:textId="77777777" w:rsidR="00185B15" w:rsidRPr="00247DE9" w:rsidRDefault="00185B15">
            <w:pPr>
              <w:suppressAutoHyphens/>
              <w:jc w:val="center"/>
              <w:rPr>
                <w:sz w:val="24"/>
                <w:szCs w:val="24"/>
                <w:lang w:val="lt-LT" w:eastAsia="zh-CN"/>
              </w:rPr>
            </w:pPr>
            <w:r w:rsidRPr="00247DE9">
              <w:rPr>
                <w:sz w:val="24"/>
                <w:szCs w:val="24"/>
                <w:lang w:val="lt-LT"/>
              </w:rPr>
              <w:t>0,99</w:t>
            </w:r>
          </w:p>
        </w:tc>
        <w:tc>
          <w:tcPr>
            <w:tcW w:w="2449" w:type="dxa"/>
            <w:tcBorders>
              <w:top w:val="nil"/>
              <w:left w:val="single" w:sz="4" w:space="0" w:color="000000"/>
              <w:bottom w:val="single" w:sz="4" w:space="0" w:color="000000"/>
              <w:right w:val="single" w:sz="4" w:space="0" w:color="000000"/>
            </w:tcBorders>
            <w:vAlign w:val="center"/>
            <w:hideMark/>
          </w:tcPr>
          <w:p w14:paraId="6C62570A" w14:textId="77777777" w:rsidR="00185B15" w:rsidRPr="00247DE9" w:rsidRDefault="00185B15">
            <w:pPr>
              <w:suppressAutoHyphens/>
              <w:rPr>
                <w:sz w:val="24"/>
                <w:szCs w:val="24"/>
                <w:lang w:val="lt-LT" w:eastAsia="zh-CN"/>
              </w:rPr>
            </w:pPr>
            <w:r w:rsidRPr="00247DE9">
              <w:rPr>
                <w:sz w:val="24"/>
                <w:szCs w:val="24"/>
                <w:lang w:val="lt-LT"/>
              </w:rPr>
              <w:t>Rodiklio reikšmė &gt;0,5 laikoma bloga, normalia apie 1, &gt;2 - gera.</w:t>
            </w:r>
          </w:p>
        </w:tc>
      </w:tr>
      <w:tr w:rsidR="00185B15" w:rsidRPr="00247DE9" w14:paraId="7CB3F206" w14:textId="77777777" w:rsidTr="00185B15">
        <w:trPr>
          <w:trHeight w:val="510"/>
        </w:trPr>
        <w:tc>
          <w:tcPr>
            <w:tcW w:w="2368" w:type="dxa"/>
            <w:tcBorders>
              <w:top w:val="nil"/>
              <w:left w:val="single" w:sz="4" w:space="0" w:color="000000"/>
              <w:bottom w:val="single" w:sz="4" w:space="0" w:color="000000"/>
              <w:right w:val="nil"/>
            </w:tcBorders>
            <w:vAlign w:val="center"/>
            <w:hideMark/>
          </w:tcPr>
          <w:p w14:paraId="2E192AFA" w14:textId="77777777" w:rsidR="00185B15" w:rsidRPr="00247DE9" w:rsidRDefault="00185B15">
            <w:pPr>
              <w:suppressAutoHyphens/>
              <w:jc w:val="center"/>
              <w:rPr>
                <w:sz w:val="24"/>
                <w:szCs w:val="24"/>
                <w:lang w:val="lt-LT" w:eastAsia="zh-CN"/>
              </w:rPr>
            </w:pPr>
            <w:r w:rsidRPr="00247DE9">
              <w:rPr>
                <w:sz w:val="24"/>
                <w:szCs w:val="24"/>
                <w:lang w:val="lt-LT"/>
              </w:rPr>
              <w:t xml:space="preserve">Skolos ir turto santykis </w:t>
            </w:r>
          </w:p>
        </w:tc>
        <w:tc>
          <w:tcPr>
            <w:tcW w:w="2325" w:type="dxa"/>
            <w:tcBorders>
              <w:top w:val="nil"/>
              <w:left w:val="single" w:sz="4" w:space="0" w:color="000000"/>
              <w:bottom w:val="single" w:sz="4" w:space="0" w:color="000000"/>
              <w:right w:val="nil"/>
            </w:tcBorders>
            <w:vAlign w:val="center"/>
            <w:hideMark/>
          </w:tcPr>
          <w:p w14:paraId="169287CC" w14:textId="77777777" w:rsidR="00185B15" w:rsidRPr="00247DE9" w:rsidRDefault="00185B15">
            <w:pPr>
              <w:suppressAutoHyphens/>
              <w:jc w:val="center"/>
              <w:rPr>
                <w:sz w:val="24"/>
                <w:szCs w:val="24"/>
                <w:lang w:val="lt-LT" w:eastAsia="zh-CN"/>
              </w:rPr>
            </w:pPr>
            <w:r w:rsidRPr="00247DE9">
              <w:rPr>
                <w:sz w:val="24"/>
                <w:szCs w:val="24"/>
                <w:lang w:val="lt-LT"/>
              </w:rPr>
              <w:t>Įsipareigojimai/Turtas</w:t>
            </w:r>
          </w:p>
        </w:tc>
        <w:tc>
          <w:tcPr>
            <w:tcW w:w="894" w:type="dxa"/>
            <w:tcBorders>
              <w:top w:val="nil"/>
              <w:left w:val="single" w:sz="4" w:space="0" w:color="000000"/>
              <w:bottom w:val="single" w:sz="4" w:space="0" w:color="000000"/>
              <w:right w:val="nil"/>
            </w:tcBorders>
            <w:vAlign w:val="center"/>
            <w:hideMark/>
          </w:tcPr>
          <w:p w14:paraId="0E7061D2" w14:textId="77777777" w:rsidR="00185B15" w:rsidRPr="00247DE9" w:rsidRDefault="00185B15">
            <w:pPr>
              <w:suppressAutoHyphens/>
              <w:jc w:val="center"/>
              <w:rPr>
                <w:sz w:val="24"/>
                <w:szCs w:val="24"/>
                <w:lang w:val="lt-LT" w:eastAsia="zh-CN"/>
              </w:rPr>
            </w:pPr>
            <w:r w:rsidRPr="00247DE9">
              <w:rPr>
                <w:sz w:val="24"/>
                <w:szCs w:val="24"/>
                <w:lang w:val="lt-LT"/>
              </w:rPr>
              <w:t>0,61</w:t>
            </w:r>
          </w:p>
        </w:tc>
        <w:tc>
          <w:tcPr>
            <w:tcW w:w="807" w:type="dxa"/>
            <w:tcBorders>
              <w:top w:val="nil"/>
              <w:left w:val="single" w:sz="4" w:space="0" w:color="000000"/>
              <w:bottom w:val="single" w:sz="4" w:space="0" w:color="000000"/>
              <w:right w:val="nil"/>
            </w:tcBorders>
            <w:vAlign w:val="center"/>
            <w:hideMark/>
          </w:tcPr>
          <w:p w14:paraId="08657E6C" w14:textId="77777777" w:rsidR="00185B15" w:rsidRPr="00247DE9" w:rsidRDefault="00185B15">
            <w:pPr>
              <w:suppressAutoHyphens/>
              <w:jc w:val="center"/>
              <w:rPr>
                <w:sz w:val="24"/>
                <w:szCs w:val="24"/>
                <w:lang w:val="lt-LT" w:eastAsia="zh-CN"/>
              </w:rPr>
            </w:pPr>
            <w:r w:rsidRPr="00247DE9">
              <w:rPr>
                <w:sz w:val="24"/>
                <w:szCs w:val="24"/>
                <w:lang w:val="lt-LT"/>
              </w:rPr>
              <w:t>0,53</w:t>
            </w:r>
          </w:p>
        </w:tc>
        <w:tc>
          <w:tcPr>
            <w:tcW w:w="851" w:type="dxa"/>
            <w:tcBorders>
              <w:top w:val="nil"/>
              <w:left w:val="single" w:sz="4" w:space="0" w:color="000000"/>
              <w:bottom w:val="single" w:sz="4" w:space="0" w:color="000000"/>
              <w:right w:val="nil"/>
            </w:tcBorders>
            <w:vAlign w:val="center"/>
            <w:hideMark/>
          </w:tcPr>
          <w:p w14:paraId="38AFB380" w14:textId="77777777" w:rsidR="00185B15" w:rsidRPr="00247DE9" w:rsidRDefault="00185B15">
            <w:pPr>
              <w:suppressAutoHyphens/>
              <w:jc w:val="center"/>
              <w:rPr>
                <w:sz w:val="24"/>
                <w:szCs w:val="24"/>
                <w:lang w:val="lt-LT" w:eastAsia="zh-CN"/>
              </w:rPr>
            </w:pPr>
            <w:r w:rsidRPr="00247DE9">
              <w:rPr>
                <w:sz w:val="24"/>
                <w:szCs w:val="24"/>
                <w:lang w:val="lt-LT"/>
              </w:rPr>
              <w:t>0,50</w:t>
            </w:r>
          </w:p>
        </w:tc>
        <w:tc>
          <w:tcPr>
            <w:tcW w:w="2449" w:type="dxa"/>
            <w:tcBorders>
              <w:top w:val="nil"/>
              <w:left w:val="single" w:sz="4" w:space="0" w:color="000000"/>
              <w:bottom w:val="single" w:sz="4" w:space="0" w:color="000000"/>
              <w:right w:val="single" w:sz="4" w:space="0" w:color="000000"/>
            </w:tcBorders>
            <w:vAlign w:val="center"/>
            <w:hideMark/>
          </w:tcPr>
          <w:p w14:paraId="47860D2A" w14:textId="77777777" w:rsidR="00185B15" w:rsidRPr="00247DE9" w:rsidRDefault="00185B15">
            <w:pPr>
              <w:suppressAutoHyphens/>
              <w:rPr>
                <w:sz w:val="24"/>
                <w:szCs w:val="24"/>
                <w:lang w:val="lt-LT" w:eastAsia="zh-CN"/>
              </w:rPr>
            </w:pPr>
            <w:r w:rsidRPr="00247DE9">
              <w:rPr>
                <w:sz w:val="24"/>
                <w:szCs w:val="24"/>
                <w:lang w:val="lt-LT"/>
              </w:rPr>
              <w:t>Normalu, jei rodiklis svyruoja tarp 0,2 ir 0,5</w:t>
            </w:r>
          </w:p>
        </w:tc>
      </w:tr>
      <w:tr w:rsidR="00185B15" w:rsidRPr="00247DE9" w14:paraId="50D76A6B" w14:textId="77777777" w:rsidTr="00185B15">
        <w:trPr>
          <w:trHeight w:val="255"/>
        </w:trPr>
        <w:tc>
          <w:tcPr>
            <w:tcW w:w="9694" w:type="dxa"/>
            <w:gridSpan w:val="6"/>
            <w:tcBorders>
              <w:top w:val="single" w:sz="4" w:space="0" w:color="000000"/>
              <w:left w:val="single" w:sz="4" w:space="0" w:color="000000"/>
              <w:bottom w:val="single" w:sz="4" w:space="0" w:color="000000"/>
              <w:right w:val="single" w:sz="4" w:space="0" w:color="000000"/>
            </w:tcBorders>
            <w:vAlign w:val="center"/>
            <w:hideMark/>
          </w:tcPr>
          <w:p w14:paraId="1E58D45B" w14:textId="77777777" w:rsidR="00185B15" w:rsidRPr="00247DE9" w:rsidRDefault="00185B15">
            <w:pPr>
              <w:suppressAutoHyphens/>
              <w:jc w:val="center"/>
              <w:rPr>
                <w:sz w:val="24"/>
                <w:szCs w:val="24"/>
                <w:lang w:val="lt-LT" w:eastAsia="zh-CN"/>
              </w:rPr>
            </w:pPr>
            <w:r w:rsidRPr="00247DE9">
              <w:rPr>
                <w:b/>
                <w:bCs/>
                <w:sz w:val="24"/>
                <w:szCs w:val="24"/>
                <w:lang w:val="lt-LT"/>
              </w:rPr>
              <w:t>Turto panaudojimo efektyvumo rodiklis</w:t>
            </w:r>
          </w:p>
        </w:tc>
      </w:tr>
      <w:tr w:rsidR="00185B15" w:rsidRPr="00247DE9" w14:paraId="55A6ECB6" w14:textId="77777777" w:rsidTr="00185B15">
        <w:trPr>
          <w:trHeight w:val="765"/>
        </w:trPr>
        <w:tc>
          <w:tcPr>
            <w:tcW w:w="2368" w:type="dxa"/>
            <w:tcBorders>
              <w:top w:val="nil"/>
              <w:left w:val="single" w:sz="4" w:space="0" w:color="000000"/>
              <w:bottom w:val="single" w:sz="4" w:space="0" w:color="000000"/>
              <w:right w:val="nil"/>
            </w:tcBorders>
            <w:vAlign w:val="center"/>
            <w:hideMark/>
          </w:tcPr>
          <w:p w14:paraId="731A7006" w14:textId="77777777" w:rsidR="00185B15" w:rsidRPr="00247DE9" w:rsidRDefault="00185B15">
            <w:pPr>
              <w:suppressAutoHyphens/>
              <w:jc w:val="center"/>
              <w:rPr>
                <w:sz w:val="24"/>
                <w:szCs w:val="24"/>
                <w:lang w:val="lt-LT" w:eastAsia="zh-CN"/>
              </w:rPr>
            </w:pPr>
            <w:r w:rsidRPr="00247DE9">
              <w:rPr>
                <w:sz w:val="24"/>
                <w:szCs w:val="24"/>
                <w:lang w:val="lt-LT"/>
              </w:rPr>
              <w:t>Apyvartinio kapitalo apyvartumas</w:t>
            </w:r>
          </w:p>
        </w:tc>
        <w:tc>
          <w:tcPr>
            <w:tcW w:w="2325" w:type="dxa"/>
            <w:tcBorders>
              <w:top w:val="nil"/>
              <w:left w:val="single" w:sz="4" w:space="0" w:color="000000"/>
              <w:bottom w:val="single" w:sz="4" w:space="0" w:color="000000"/>
              <w:right w:val="nil"/>
            </w:tcBorders>
            <w:vAlign w:val="center"/>
            <w:hideMark/>
          </w:tcPr>
          <w:p w14:paraId="58487842" w14:textId="77777777" w:rsidR="00185B15" w:rsidRPr="00247DE9" w:rsidRDefault="00185B15">
            <w:pPr>
              <w:suppressAutoHyphens/>
              <w:jc w:val="center"/>
              <w:rPr>
                <w:sz w:val="24"/>
                <w:szCs w:val="24"/>
                <w:lang w:val="lt-LT" w:eastAsia="zh-CN"/>
              </w:rPr>
            </w:pPr>
            <w:r w:rsidRPr="00247DE9">
              <w:rPr>
                <w:sz w:val="24"/>
                <w:szCs w:val="24"/>
                <w:lang w:val="lt-LT"/>
              </w:rPr>
              <w:t>Pardavimo pajamos/apyvartinis kapitalas</w:t>
            </w:r>
          </w:p>
        </w:tc>
        <w:tc>
          <w:tcPr>
            <w:tcW w:w="894" w:type="dxa"/>
            <w:tcBorders>
              <w:top w:val="nil"/>
              <w:left w:val="single" w:sz="4" w:space="0" w:color="000000"/>
              <w:bottom w:val="single" w:sz="4" w:space="0" w:color="000000"/>
              <w:right w:val="nil"/>
            </w:tcBorders>
            <w:vAlign w:val="center"/>
            <w:hideMark/>
          </w:tcPr>
          <w:p w14:paraId="6F3A7356" w14:textId="77777777" w:rsidR="00185B15" w:rsidRPr="00247DE9" w:rsidRDefault="00185B15">
            <w:pPr>
              <w:suppressAutoHyphens/>
              <w:jc w:val="center"/>
              <w:rPr>
                <w:sz w:val="24"/>
                <w:szCs w:val="24"/>
                <w:lang w:val="lt-LT" w:eastAsia="zh-CN"/>
              </w:rPr>
            </w:pPr>
            <w:r w:rsidRPr="00247DE9">
              <w:rPr>
                <w:sz w:val="24"/>
                <w:szCs w:val="24"/>
                <w:lang w:val="lt-LT"/>
              </w:rPr>
              <w:t>-46,02</w:t>
            </w:r>
          </w:p>
        </w:tc>
        <w:tc>
          <w:tcPr>
            <w:tcW w:w="807" w:type="dxa"/>
            <w:tcBorders>
              <w:top w:val="nil"/>
              <w:left w:val="single" w:sz="4" w:space="0" w:color="000000"/>
              <w:bottom w:val="single" w:sz="4" w:space="0" w:color="000000"/>
              <w:right w:val="nil"/>
            </w:tcBorders>
            <w:vAlign w:val="center"/>
            <w:hideMark/>
          </w:tcPr>
          <w:p w14:paraId="306791A5" w14:textId="77777777" w:rsidR="00185B15" w:rsidRPr="00247DE9" w:rsidRDefault="00185B15">
            <w:pPr>
              <w:suppressAutoHyphens/>
              <w:jc w:val="center"/>
              <w:rPr>
                <w:sz w:val="24"/>
                <w:szCs w:val="24"/>
                <w:lang w:val="lt-LT" w:eastAsia="zh-CN"/>
              </w:rPr>
            </w:pPr>
            <w:r w:rsidRPr="00247DE9">
              <w:rPr>
                <w:sz w:val="24"/>
                <w:szCs w:val="24"/>
                <w:lang w:val="lt-LT"/>
              </w:rPr>
              <w:t>-57,35</w:t>
            </w:r>
          </w:p>
        </w:tc>
        <w:tc>
          <w:tcPr>
            <w:tcW w:w="851" w:type="dxa"/>
            <w:tcBorders>
              <w:top w:val="nil"/>
              <w:left w:val="single" w:sz="4" w:space="0" w:color="000000"/>
              <w:bottom w:val="single" w:sz="4" w:space="0" w:color="000000"/>
              <w:right w:val="nil"/>
            </w:tcBorders>
            <w:vAlign w:val="center"/>
            <w:hideMark/>
          </w:tcPr>
          <w:p w14:paraId="104B33E5" w14:textId="77777777" w:rsidR="00185B15" w:rsidRPr="00247DE9" w:rsidRDefault="00185B15">
            <w:pPr>
              <w:suppressAutoHyphens/>
              <w:jc w:val="center"/>
              <w:rPr>
                <w:sz w:val="24"/>
                <w:szCs w:val="24"/>
                <w:lang w:val="lt-LT" w:eastAsia="zh-CN"/>
              </w:rPr>
            </w:pPr>
            <w:r w:rsidRPr="00247DE9">
              <w:rPr>
                <w:sz w:val="24"/>
                <w:szCs w:val="24"/>
                <w:lang w:val="lt-LT"/>
              </w:rPr>
              <w:t>13,29</w:t>
            </w:r>
          </w:p>
        </w:tc>
        <w:tc>
          <w:tcPr>
            <w:tcW w:w="2449" w:type="dxa"/>
            <w:tcBorders>
              <w:top w:val="nil"/>
              <w:left w:val="single" w:sz="4" w:space="0" w:color="000000"/>
              <w:bottom w:val="single" w:sz="4" w:space="0" w:color="000000"/>
              <w:right w:val="single" w:sz="4" w:space="0" w:color="000000"/>
            </w:tcBorders>
            <w:vAlign w:val="center"/>
            <w:hideMark/>
          </w:tcPr>
          <w:p w14:paraId="3012A093" w14:textId="77777777" w:rsidR="00185B15" w:rsidRPr="00247DE9" w:rsidRDefault="00185B15">
            <w:pPr>
              <w:suppressAutoHyphens/>
              <w:rPr>
                <w:sz w:val="24"/>
                <w:szCs w:val="24"/>
                <w:lang w:val="lt-LT" w:eastAsia="zh-CN"/>
              </w:rPr>
            </w:pPr>
            <w:r w:rsidRPr="00247DE9">
              <w:rPr>
                <w:sz w:val="24"/>
                <w:szCs w:val="24"/>
                <w:lang w:val="lt-LT"/>
              </w:rPr>
              <w:t>Rodiklio reikšmė - 2020 m. gera</w:t>
            </w:r>
          </w:p>
        </w:tc>
      </w:tr>
      <w:tr w:rsidR="00185B15" w:rsidRPr="00247DE9" w14:paraId="7DC3F682" w14:textId="77777777" w:rsidTr="00185B15">
        <w:trPr>
          <w:trHeight w:val="255"/>
        </w:trPr>
        <w:tc>
          <w:tcPr>
            <w:tcW w:w="9694" w:type="dxa"/>
            <w:gridSpan w:val="6"/>
            <w:tcBorders>
              <w:top w:val="single" w:sz="4" w:space="0" w:color="000000"/>
              <w:left w:val="single" w:sz="4" w:space="0" w:color="000000"/>
              <w:bottom w:val="single" w:sz="4" w:space="0" w:color="000000"/>
              <w:right w:val="single" w:sz="4" w:space="0" w:color="000000"/>
            </w:tcBorders>
            <w:vAlign w:val="center"/>
            <w:hideMark/>
          </w:tcPr>
          <w:p w14:paraId="7FD3DCA1" w14:textId="77777777" w:rsidR="00185B15" w:rsidRPr="00247DE9" w:rsidRDefault="00185B15">
            <w:pPr>
              <w:suppressAutoHyphens/>
              <w:jc w:val="center"/>
              <w:rPr>
                <w:sz w:val="24"/>
                <w:szCs w:val="24"/>
                <w:lang w:val="lt-LT" w:eastAsia="zh-CN"/>
              </w:rPr>
            </w:pPr>
            <w:r w:rsidRPr="00247DE9">
              <w:rPr>
                <w:b/>
                <w:bCs/>
                <w:sz w:val="24"/>
                <w:szCs w:val="24"/>
                <w:lang w:val="lt-LT"/>
              </w:rPr>
              <w:t>Likvidumo rodiklis</w:t>
            </w:r>
          </w:p>
        </w:tc>
      </w:tr>
      <w:tr w:rsidR="00185B15" w:rsidRPr="00247DE9" w14:paraId="55CAE8BF" w14:textId="77777777" w:rsidTr="00185B15">
        <w:trPr>
          <w:trHeight w:val="510"/>
        </w:trPr>
        <w:tc>
          <w:tcPr>
            <w:tcW w:w="2368" w:type="dxa"/>
            <w:tcBorders>
              <w:top w:val="nil"/>
              <w:left w:val="single" w:sz="4" w:space="0" w:color="000000"/>
              <w:bottom w:val="single" w:sz="4" w:space="0" w:color="000000"/>
              <w:right w:val="nil"/>
            </w:tcBorders>
            <w:vAlign w:val="center"/>
            <w:hideMark/>
          </w:tcPr>
          <w:p w14:paraId="61D4DA54" w14:textId="77777777" w:rsidR="00185B15" w:rsidRPr="00247DE9" w:rsidRDefault="00185B15">
            <w:pPr>
              <w:suppressAutoHyphens/>
              <w:jc w:val="center"/>
              <w:rPr>
                <w:sz w:val="24"/>
                <w:szCs w:val="24"/>
                <w:lang w:val="lt-LT" w:eastAsia="zh-CN"/>
              </w:rPr>
            </w:pPr>
            <w:r w:rsidRPr="00247DE9">
              <w:rPr>
                <w:sz w:val="24"/>
                <w:szCs w:val="24"/>
                <w:lang w:val="lt-LT"/>
              </w:rPr>
              <w:t>Bendrasis likvidumo rodiklis</w:t>
            </w:r>
          </w:p>
        </w:tc>
        <w:tc>
          <w:tcPr>
            <w:tcW w:w="2325" w:type="dxa"/>
            <w:tcBorders>
              <w:top w:val="nil"/>
              <w:left w:val="single" w:sz="4" w:space="0" w:color="000000"/>
              <w:bottom w:val="single" w:sz="4" w:space="0" w:color="000000"/>
              <w:right w:val="nil"/>
            </w:tcBorders>
            <w:vAlign w:val="center"/>
            <w:hideMark/>
          </w:tcPr>
          <w:p w14:paraId="3DC8A128" w14:textId="77777777" w:rsidR="00185B15" w:rsidRPr="00247DE9" w:rsidRDefault="00185B15">
            <w:pPr>
              <w:suppressAutoHyphens/>
              <w:jc w:val="center"/>
              <w:rPr>
                <w:sz w:val="24"/>
                <w:szCs w:val="24"/>
                <w:lang w:val="lt-LT" w:eastAsia="zh-CN"/>
              </w:rPr>
            </w:pPr>
            <w:r w:rsidRPr="00247DE9">
              <w:rPr>
                <w:sz w:val="24"/>
                <w:szCs w:val="24"/>
                <w:lang w:val="lt-LT"/>
              </w:rPr>
              <w:t>Trumpalaikis turtas/trumpalaikiai įsipareigojimai</w:t>
            </w:r>
          </w:p>
        </w:tc>
        <w:tc>
          <w:tcPr>
            <w:tcW w:w="894" w:type="dxa"/>
            <w:tcBorders>
              <w:top w:val="nil"/>
              <w:left w:val="single" w:sz="4" w:space="0" w:color="000000"/>
              <w:bottom w:val="single" w:sz="4" w:space="0" w:color="000000"/>
              <w:right w:val="nil"/>
            </w:tcBorders>
            <w:vAlign w:val="center"/>
            <w:hideMark/>
          </w:tcPr>
          <w:p w14:paraId="54DB50CC" w14:textId="77777777" w:rsidR="00185B15" w:rsidRPr="00247DE9" w:rsidRDefault="00185B15">
            <w:pPr>
              <w:suppressAutoHyphens/>
              <w:jc w:val="center"/>
              <w:rPr>
                <w:sz w:val="24"/>
                <w:szCs w:val="24"/>
                <w:lang w:val="lt-LT" w:eastAsia="zh-CN"/>
              </w:rPr>
            </w:pPr>
            <w:r w:rsidRPr="00247DE9">
              <w:rPr>
                <w:sz w:val="24"/>
                <w:szCs w:val="24"/>
                <w:lang w:val="lt-LT"/>
              </w:rPr>
              <w:t>0,88</w:t>
            </w:r>
          </w:p>
        </w:tc>
        <w:tc>
          <w:tcPr>
            <w:tcW w:w="807" w:type="dxa"/>
            <w:tcBorders>
              <w:top w:val="nil"/>
              <w:left w:val="single" w:sz="4" w:space="0" w:color="000000"/>
              <w:bottom w:val="single" w:sz="4" w:space="0" w:color="000000"/>
              <w:right w:val="nil"/>
            </w:tcBorders>
            <w:vAlign w:val="center"/>
            <w:hideMark/>
          </w:tcPr>
          <w:p w14:paraId="7CB79712" w14:textId="77777777" w:rsidR="00185B15" w:rsidRPr="00247DE9" w:rsidRDefault="00185B15">
            <w:pPr>
              <w:suppressAutoHyphens/>
              <w:jc w:val="center"/>
              <w:rPr>
                <w:sz w:val="24"/>
                <w:szCs w:val="24"/>
                <w:lang w:val="lt-LT" w:eastAsia="zh-CN"/>
              </w:rPr>
            </w:pPr>
            <w:r w:rsidRPr="00247DE9">
              <w:rPr>
                <w:sz w:val="24"/>
                <w:szCs w:val="24"/>
                <w:lang w:val="lt-LT"/>
              </w:rPr>
              <w:t>0,86</w:t>
            </w:r>
          </w:p>
        </w:tc>
        <w:tc>
          <w:tcPr>
            <w:tcW w:w="851" w:type="dxa"/>
            <w:tcBorders>
              <w:top w:val="nil"/>
              <w:left w:val="single" w:sz="4" w:space="0" w:color="000000"/>
              <w:bottom w:val="single" w:sz="4" w:space="0" w:color="000000"/>
              <w:right w:val="nil"/>
            </w:tcBorders>
            <w:vAlign w:val="center"/>
            <w:hideMark/>
          </w:tcPr>
          <w:p w14:paraId="2A2B7C23" w14:textId="77777777" w:rsidR="00185B15" w:rsidRPr="00247DE9" w:rsidRDefault="00185B15">
            <w:pPr>
              <w:suppressAutoHyphens/>
              <w:jc w:val="center"/>
              <w:rPr>
                <w:sz w:val="24"/>
                <w:szCs w:val="24"/>
                <w:lang w:val="lt-LT" w:eastAsia="zh-CN"/>
              </w:rPr>
            </w:pPr>
            <w:r w:rsidRPr="00247DE9">
              <w:rPr>
                <w:sz w:val="24"/>
                <w:szCs w:val="24"/>
                <w:lang w:val="lt-LT"/>
              </w:rPr>
              <w:t>1,27</w:t>
            </w:r>
          </w:p>
        </w:tc>
        <w:tc>
          <w:tcPr>
            <w:tcW w:w="2449" w:type="dxa"/>
            <w:tcBorders>
              <w:top w:val="nil"/>
              <w:left w:val="single" w:sz="4" w:space="0" w:color="000000"/>
              <w:bottom w:val="single" w:sz="4" w:space="0" w:color="000000"/>
              <w:right w:val="single" w:sz="4" w:space="0" w:color="000000"/>
            </w:tcBorders>
            <w:vAlign w:val="center"/>
            <w:hideMark/>
          </w:tcPr>
          <w:p w14:paraId="61460216" w14:textId="77777777" w:rsidR="00185B15" w:rsidRPr="00247DE9" w:rsidRDefault="00185B15">
            <w:pPr>
              <w:suppressAutoHyphens/>
              <w:rPr>
                <w:sz w:val="24"/>
                <w:szCs w:val="24"/>
                <w:lang w:val="lt-LT" w:eastAsia="zh-CN"/>
              </w:rPr>
            </w:pPr>
            <w:r w:rsidRPr="00247DE9">
              <w:rPr>
                <w:sz w:val="24"/>
                <w:szCs w:val="24"/>
                <w:lang w:val="lt-LT"/>
              </w:rPr>
              <w:t>Rodiklio reikšmė tarp 1,2 ir 2,00 yra priimtina</w:t>
            </w:r>
          </w:p>
        </w:tc>
      </w:tr>
      <w:tr w:rsidR="00185B15" w:rsidRPr="00247DE9" w14:paraId="6504C519" w14:textId="77777777" w:rsidTr="00185B15">
        <w:trPr>
          <w:trHeight w:val="289"/>
        </w:trPr>
        <w:tc>
          <w:tcPr>
            <w:tcW w:w="9694" w:type="dxa"/>
            <w:gridSpan w:val="6"/>
            <w:tcBorders>
              <w:top w:val="nil"/>
              <w:left w:val="single" w:sz="4" w:space="0" w:color="000000"/>
              <w:bottom w:val="single" w:sz="4" w:space="0" w:color="000000"/>
              <w:right w:val="single" w:sz="4" w:space="0" w:color="000000"/>
            </w:tcBorders>
            <w:vAlign w:val="center"/>
            <w:hideMark/>
          </w:tcPr>
          <w:p w14:paraId="644FD0A9" w14:textId="77777777" w:rsidR="00185B15" w:rsidRPr="00247DE9" w:rsidRDefault="00185B15">
            <w:pPr>
              <w:suppressAutoHyphens/>
              <w:jc w:val="center"/>
              <w:rPr>
                <w:sz w:val="24"/>
                <w:szCs w:val="24"/>
                <w:lang w:val="lt-LT" w:eastAsia="zh-CN"/>
              </w:rPr>
            </w:pPr>
            <w:r w:rsidRPr="00247DE9">
              <w:rPr>
                <w:b/>
                <w:bCs/>
                <w:sz w:val="24"/>
                <w:szCs w:val="24"/>
                <w:lang w:val="lt-LT"/>
              </w:rPr>
              <w:t>Sverto rodiklis</w:t>
            </w:r>
          </w:p>
        </w:tc>
      </w:tr>
      <w:tr w:rsidR="00185B15" w:rsidRPr="00247DE9" w14:paraId="11AB5295" w14:textId="77777777" w:rsidTr="00185B15">
        <w:trPr>
          <w:trHeight w:val="510"/>
        </w:trPr>
        <w:tc>
          <w:tcPr>
            <w:tcW w:w="2368" w:type="dxa"/>
            <w:tcBorders>
              <w:top w:val="nil"/>
              <w:left w:val="single" w:sz="4" w:space="0" w:color="000000"/>
              <w:bottom w:val="single" w:sz="4" w:space="0" w:color="000000"/>
              <w:right w:val="nil"/>
            </w:tcBorders>
            <w:vAlign w:val="center"/>
            <w:hideMark/>
          </w:tcPr>
          <w:p w14:paraId="030A4AE5" w14:textId="77777777" w:rsidR="00185B15" w:rsidRPr="00247DE9" w:rsidRDefault="00185B15">
            <w:pPr>
              <w:suppressAutoHyphens/>
              <w:jc w:val="center"/>
              <w:rPr>
                <w:sz w:val="24"/>
                <w:szCs w:val="24"/>
                <w:lang w:val="lt-LT" w:eastAsia="zh-CN"/>
              </w:rPr>
            </w:pPr>
            <w:r w:rsidRPr="00247DE9">
              <w:rPr>
                <w:sz w:val="24"/>
                <w:szCs w:val="24"/>
                <w:lang w:val="lt-LT"/>
              </w:rPr>
              <w:t>Nuosavybės koeficientas</w:t>
            </w:r>
          </w:p>
        </w:tc>
        <w:tc>
          <w:tcPr>
            <w:tcW w:w="2325" w:type="dxa"/>
            <w:tcBorders>
              <w:top w:val="nil"/>
              <w:left w:val="single" w:sz="4" w:space="0" w:color="000000"/>
              <w:bottom w:val="single" w:sz="4" w:space="0" w:color="000000"/>
              <w:right w:val="nil"/>
            </w:tcBorders>
            <w:vAlign w:val="center"/>
            <w:hideMark/>
          </w:tcPr>
          <w:p w14:paraId="3CE7DB81" w14:textId="77777777" w:rsidR="00185B15" w:rsidRPr="00247DE9" w:rsidRDefault="00185B15">
            <w:pPr>
              <w:suppressAutoHyphens/>
              <w:jc w:val="center"/>
              <w:rPr>
                <w:sz w:val="24"/>
                <w:szCs w:val="24"/>
                <w:lang w:val="lt-LT" w:eastAsia="zh-CN"/>
              </w:rPr>
            </w:pPr>
            <w:r w:rsidRPr="00247DE9">
              <w:rPr>
                <w:sz w:val="24"/>
                <w:szCs w:val="24"/>
                <w:lang w:val="lt-LT"/>
              </w:rPr>
              <w:t>Nuosavas kapitalas/turtas</w:t>
            </w:r>
          </w:p>
        </w:tc>
        <w:tc>
          <w:tcPr>
            <w:tcW w:w="894" w:type="dxa"/>
            <w:tcBorders>
              <w:top w:val="nil"/>
              <w:left w:val="single" w:sz="4" w:space="0" w:color="000000"/>
              <w:bottom w:val="single" w:sz="4" w:space="0" w:color="000000"/>
              <w:right w:val="nil"/>
            </w:tcBorders>
            <w:vAlign w:val="center"/>
            <w:hideMark/>
          </w:tcPr>
          <w:p w14:paraId="25DCB311" w14:textId="77777777" w:rsidR="00185B15" w:rsidRPr="00247DE9" w:rsidRDefault="00185B15">
            <w:pPr>
              <w:suppressAutoHyphens/>
              <w:jc w:val="center"/>
              <w:rPr>
                <w:sz w:val="24"/>
                <w:szCs w:val="24"/>
                <w:lang w:val="lt-LT" w:eastAsia="zh-CN"/>
              </w:rPr>
            </w:pPr>
            <w:r w:rsidRPr="00247DE9">
              <w:rPr>
                <w:sz w:val="24"/>
                <w:szCs w:val="24"/>
                <w:lang w:val="lt-LT"/>
              </w:rPr>
              <w:t>0,65</w:t>
            </w:r>
          </w:p>
        </w:tc>
        <w:tc>
          <w:tcPr>
            <w:tcW w:w="807" w:type="dxa"/>
            <w:tcBorders>
              <w:top w:val="nil"/>
              <w:left w:val="single" w:sz="4" w:space="0" w:color="000000"/>
              <w:bottom w:val="single" w:sz="4" w:space="0" w:color="000000"/>
              <w:right w:val="nil"/>
            </w:tcBorders>
            <w:vAlign w:val="center"/>
            <w:hideMark/>
          </w:tcPr>
          <w:p w14:paraId="1ECE5D6F" w14:textId="77777777" w:rsidR="00185B15" w:rsidRPr="00247DE9" w:rsidRDefault="00185B15">
            <w:pPr>
              <w:suppressAutoHyphens/>
              <w:jc w:val="center"/>
              <w:rPr>
                <w:sz w:val="24"/>
                <w:szCs w:val="24"/>
                <w:lang w:val="lt-LT" w:eastAsia="zh-CN"/>
              </w:rPr>
            </w:pPr>
            <w:r w:rsidRPr="00247DE9">
              <w:rPr>
                <w:sz w:val="24"/>
                <w:szCs w:val="24"/>
                <w:lang w:val="lt-LT"/>
              </w:rPr>
              <w:t>0,47</w:t>
            </w:r>
          </w:p>
        </w:tc>
        <w:tc>
          <w:tcPr>
            <w:tcW w:w="851" w:type="dxa"/>
            <w:tcBorders>
              <w:top w:val="nil"/>
              <w:left w:val="single" w:sz="4" w:space="0" w:color="000000"/>
              <w:bottom w:val="single" w:sz="4" w:space="0" w:color="000000"/>
              <w:right w:val="nil"/>
            </w:tcBorders>
            <w:vAlign w:val="center"/>
            <w:hideMark/>
          </w:tcPr>
          <w:p w14:paraId="6DE31F06" w14:textId="77777777" w:rsidR="00185B15" w:rsidRPr="00247DE9" w:rsidRDefault="00185B15">
            <w:pPr>
              <w:suppressAutoHyphens/>
              <w:jc w:val="center"/>
              <w:rPr>
                <w:sz w:val="24"/>
                <w:szCs w:val="24"/>
                <w:lang w:val="lt-LT" w:eastAsia="zh-CN"/>
              </w:rPr>
            </w:pPr>
            <w:r w:rsidRPr="00247DE9">
              <w:rPr>
                <w:sz w:val="24"/>
                <w:szCs w:val="24"/>
                <w:lang w:val="lt-LT"/>
              </w:rPr>
              <w:t>0,50</w:t>
            </w:r>
          </w:p>
        </w:tc>
        <w:tc>
          <w:tcPr>
            <w:tcW w:w="2449" w:type="dxa"/>
            <w:tcBorders>
              <w:top w:val="nil"/>
              <w:left w:val="single" w:sz="4" w:space="0" w:color="000000"/>
              <w:bottom w:val="single" w:sz="4" w:space="0" w:color="000000"/>
              <w:right w:val="single" w:sz="4" w:space="0" w:color="000000"/>
            </w:tcBorders>
            <w:vAlign w:val="center"/>
            <w:hideMark/>
          </w:tcPr>
          <w:p w14:paraId="3D2A0FC2" w14:textId="77777777" w:rsidR="00185B15" w:rsidRPr="00247DE9" w:rsidRDefault="00185B15">
            <w:pPr>
              <w:suppressAutoHyphens/>
              <w:rPr>
                <w:sz w:val="24"/>
                <w:szCs w:val="24"/>
                <w:lang w:val="lt-LT" w:eastAsia="zh-CN"/>
              </w:rPr>
            </w:pPr>
            <w:r w:rsidRPr="00247DE9">
              <w:rPr>
                <w:sz w:val="24"/>
                <w:szCs w:val="24"/>
                <w:lang w:val="lt-LT"/>
              </w:rPr>
              <w:t>Gera reikšmė tarp 0,4 ir 0,7</w:t>
            </w:r>
          </w:p>
        </w:tc>
      </w:tr>
    </w:tbl>
    <w:p w14:paraId="748BCE15" w14:textId="77777777" w:rsidR="00185B15" w:rsidRPr="00247DE9" w:rsidRDefault="00185B15" w:rsidP="00185B15">
      <w:pPr>
        <w:jc w:val="both"/>
        <w:rPr>
          <w:sz w:val="24"/>
          <w:szCs w:val="24"/>
          <w:lang w:val="lt-LT" w:eastAsia="zh-CN"/>
        </w:rPr>
      </w:pPr>
    </w:p>
    <w:p w14:paraId="326DDF0F" w14:textId="77777777" w:rsidR="00185B15" w:rsidRPr="00706BB8" w:rsidRDefault="00185B15" w:rsidP="00185B15">
      <w:pPr>
        <w:ind w:firstLine="720"/>
        <w:jc w:val="both"/>
        <w:rPr>
          <w:sz w:val="24"/>
          <w:szCs w:val="24"/>
          <w:lang w:val="lt-LT"/>
        </w:rPr>
      </w:pPr>
      <w:r w:rsidRPr="00247DE9">
        <w:rPr>
          <w:sz w:val="24"/>
          <w:szCs w:val="24"/>
          <w:lang w:val="lt-LT"/>
        </w:rPr>
        <w:t>Bendrasis pelningumas 2020 m. sumažėjo. Bendrovė yra riboto pelningumo, kuriai keliamas uždavinys dirbti pelningai, tačiau pagrindiniai tikslai yra susiję su visuomenės interesais teikti visuomeninio transporto paslaugas ir turėti būtinas susisiekimo galimybes už priimtiną kainą. Bendrovės pelningumo galimybes riboja ir tai, kad jos pagrindinės veiklos vietinių pervežimų kainas reguliuoja savivaldybės taryba. Ir nors savivaldybė kompensuoja patirtus vietiniuose maršrutuose nuostolius, tačiau praktiškai neprisideda prie Bendrovės pelningumo, nes kompensuojant nuostolius atsižvelgiama tik į kaštus, neįvertinant rentabilumo.</w:t>
      </w:r>
    </w:p>
    <w:p w14:paraId="3C131DCA" w14:textId="42F7FC75" w:rsidR="00185B15" w:rsidRPr="00706BB8" w:rsidRDefault="005C3A76" w:rsidP="00185B15">
      <w:pPr>
        <w:ind w:firstLine="720"/>
        <w:jc w:val="both"/>
        <w:rPr>
          <w:sz w:val="24"/>
          <w:szCs w:val="24"/>
          <w:lang w:val="lt-LT"/>
        </w:rPr>
      </w:pPr>
      <w:r>
        <w:rPr>
          <w:sz w:val="24"/>
          <w:szCs w:val="24"/>
          <w:lang w:val="lt-LT"/>
        </w:rPr>
        <w:t>Bendrovės mokumo rodikliai</w:t>
      </w:r>
      <w:r w:rsidR="00185B15" w:rsidRPr="00247DE9">
        <w:rPr>
          <w:sz w:val="24"/>
          <w:szCs w:val="24"/>
          <w:lang w:val="lt-LT"/>
        </w:rPr>
        <w:t xml:space="preserve"> pagerėjo, o tai yra sugebėjimas turimomis priemonėmis įvykdyti įsipareigojimus.</w:t>
      </w:r>
    </w:p>
    <w:p w14:paraId="446A91F8" w14:textId="77777777" w:rsidR="00185B15" w:rsidRPr="00706BB8" w:rsidRDefault="00185B15" w:rsidP="00185B15">
      <w:pPr>
        <w:ind w:firstLine="720"/>
        <w:jc w:val="both"/>
        <w:rPr>
          <w:sz w:val="24"/>
          <w:szCs w:val="24"/>
          <w:lang w:val="lt-LT"/>
        </w:rPr>
      </w:pPr>
      <w:r w:rsidRPr="00247DE9">
        <w:rPr>
          <w:sz w:val="24"/>
          <w:szCs w:val="24"/>
          <w:lang w:val="lt-LT"/>
        </w:rPr>
        <w:t>Įsipareigojimo rodiklis rodo, kad Bendrovė naudoja nedaug skolinto kapitalo. Kuo aukštesnis rodiklis, tuo didesnė rizika. Jeigu rodiklis viršytų „1“, reikštų, kad Bendrovė turi daugiau įsipareigojimų negu turto, ir turėtų būti bankrutavusi.</w:t>
      </w:r>
    </w:p>
    <w:p w14:paraId="476EAACA" w14:textId="77777777" w:rsidR="00185B15" w:rsidRPr="00706BB8" w:rsidRDefault="00185B15" w:rsidP="00185B15">
      <w:pPr>
        <w:rPr>
          <w:sz w:val="24"/>
          <w:szCs w:val="24"/>
          <w:lang w:val="lt-LT"/>
        </w:rPr>
      </w:pPr>
      <w:r w:rsidRPr="00247DE9">
        <w:rPr>
          <w:b/>
          <w:sz w:val="24"/>
          <w:szCs w:val="24"/>
          <w:lang w:val="lt-LT"/>
        </w:rPr>
        <w:tab/>
      </w:r>
    </w:p>
    <w:p w14:paraId="7B9ADD19" w14:textId="77777777" w:rsidR="00185B15" w:rsidRPr="00706BB8" w:rsidRDefault="00185B15" w:rsidP="00185B15">
      <w:pPr>
        <w:jc w:val="center"/>
        <w:rPr>
          <w:sz w:val="24"/>
          <w:szCs w:val="24"/>
          <w:lang w:val="lt-LT"/>
        </w:rPr>
      </w:pPr>
      <w:r w:rsidRPr="00247DE9">
        <w:rPr>
          <w:b/>
          <w:sz w:val="24"/>
          <w:szCs w:val="24"/>
          <w:lang w:val="lt-LT"/>
        </w:rPr>
        <w:t>APLINKOS IR PERSONALO KLAUSIMAI</w:t>
      </w:r>
    </w:p>
    <w:p w14:paraId="7F21007D" w14:textId="77777777" w:rsidR="00185B15" w:rsidRPr="00706BB8" w:rsidRDefault="00185B15" w:rsidP="00185B15">
      <w:pPr>
        <w:jc w:val="both"/>
        <w:rPr>
          <w:sz w:val="24"/>
          <w:szCs w:val="24"/>
          <w:lang w:val="lt-LT"/>
        </w:rPr>
      </w:pPr>
      <w:r w:rsidRPr="00247DE9">
        <w:rPr>
          <w:i/>
          <w:sz w:val="24"/>
          <w:szCs w:val="24"/>
          <w:lang w:val="lt-LT"/>
        </w:rPr>
        <w:tab/>
      </w:r>
    </w:p>
    <w:p w14:paraId="301CB7B8" w14:textId="77777777" w:rsidR="00185B15" w:rsidRPr="00706BB8" w:rsidRDefault="00185B15" w:rsidP="00185B15">
      <w:pPr>
        <w:ind w:firstLine="720"/>
        <w:jc w:val="both"/>
        <w:rPr>
          <w:sz w:val="24"/>
          <w:szCs w:val="24"/>
          <w:lang w:val="lt-LT"/>
        </w:rPr>
      </w:pPr>
      <w:r w:rsidRPr="00247DE9">
        <w:rPr>
          <w:sz w:val="24"/>
          <w:szCs w:val="24"/>
          <w:lang w:val="lt-LT"/>
        </w:rPr>
        <w:t>Bendrovės darbo efektyvumą ir pajamas apsprendžia keleivių srautai, rajono ekonominė būklė, gyventojų skaičius, tarifai. Ypač neigiamai veikia mažėjantis rajono gyventojų skaičius ir sezoniškumas. Dėl pandemijos COVID-19 paskelbto karantino ir apribojimų buvome priversti mažinti aptarnaujamų maršrutų skaičių. Nuo to nukenčia atokesnių kaimų gyventojai, nes jų poreikiai tenkinami minimaliai.</w:t>
      </w:r>
      <w:r w:rsidRPr="00247DE9">
        <w:rPr>
          <w:i/>
          <w:sz w:val="24"/>
          <w:szCs w:val="24"/>
          <w:lang w:val="lt-LT"/>
        </w:rPr>
        <w:t xml:space="preserve"> </w:t>
      </w:r>
      <w:r w:rsidRPr="00247DE9">
        <w:rPr>
          <w:sz w:val="24"/>
          <w:szCs w:val="24"/>
          <w:lang w:val="lt-LT"/>
        </w:rPr>
        <w:t xml:space="preserve">Neigiamai veikia maršrutinių taksi, mokyklinių autobusų maršrutai, kurie dubliuojasi su maršrutiniais autobusais. </w:t>
      </w:r>
    </w:p>
    <w:p w14:paraId="58C0CE81" w14:textId="644E9A38" w:rsidR="00185B15" w:rsidRPr="00706BB8" w:rsidRDefault="00185B15" w:rsidP="00185B15">
      <w:pPr>
        <w:ind w:firstLine="720"/>
        <w:jc w:val="both"/>
        <w:rPr>
          <w:sz w:val="24"/>
          <w:szCs w:val="24"/>
          <w:lang w:val="lt-LT"/>
        </w:rPr>
      </w:pPr>
      <w:r w:rsidRPr="00247DE9">
        <w:rPr>
          <w:rFonts w:eastAsia="Calibri"/>
          <w:color w:val="000000"/>
          <w:sz w:val="24"/>
          <w:szCs w:val="24"/>
          <w:lang w:val="lt-LT"/>
        </w:rPr>
        <w:t xml:space="preserve">Tolimojo susisiekimo maršrutai driekiasi tais pačiais keliais, kuriuose savo veiklą vykdo ir didžiosios šalies keleivių vežėjų kompanijos – </w:t>
      </w:r>
      <w:r w:rsidR="00327A7B">
        <w:rPr>
          <w:rFonts w:eastAsia="Calibri"/>
          <w:color w:val="000000"/>
          <w:sz w:val="24"/>
          <w:szCs w:val="24"/>
          <w:lang w:val="lt-LT"/>
        </w:rPr>
        <w:t>t</w:t>
      </w:r>
      <w:r w:rsidRPr="00247DE9">
        <w:rPr>
          <w:rFonts w:eastAsia="Calibri"/>
          <w:color w:val="000000"/>
          <w:sz w:val="24"/>
          <w:szCs w:val="24"/>
          <w:lang w:val="lt-LT"/>
        </w:rPr>
        <w:t>olimojo keleivinio transporto kompanija UAB TOKS, UAB KAUTRA, UAB „Panevėžio autobusų parkas“. Su jais tenka konkuruoti keleivių vežimo srityje. Kadangi jų galimybės versle daug didesnės, nes jų stipresnės techninės bazės ir aptarnauja ekonomiškai naudingesnius maršrutus</w:t>
      </w:r>
      <w:r w:rsidRPr="00247DE9">
        <w:rPr>
          <w:rFonts w:eastAsia="Calibri"/>
          <w:i/>
          <w:color w:val="000000"/>
          <w:sz w:val="24"/>
          <w:szCs w:val="24"/>
          <w:lang w:val="lt-LT"/>
        </w:rPr>
        <w:t>.</w:t>
      </w:r>
    </w:p>
    <w:p w14:paraId="77BF21B2" w14:textId="77777777" w:rsidR="00185B15" w:rsidRPr="00706BB8" w:rsidRDefault="00185B15" w:rsidP="00185B15">
      <w:pPr>
        <w:ind w:firstLine="720"/>
        <w:jc w:val="both"/>
        <w:rPr>
          <w:sz w:val="24"/>
          <w:szCs w:val="24"/>
          <w:lang w:val="lt-LT"/>
        </w:rPr>
      </w:pPr>
      <w:r w:rsidRPr="00247DE9">
        <w:rPr>
          <w:rFonts w:eastAsia="Calibri"/>
          <w:sz w:val="24"/>
          <w:szCs w:val="24"/>
          <w:lang w:val="lt-LT"/>
        </w:rPr>
        <w:t>2020 m. Bendrovės įtaka aplinkai minimali, jokių aplinkosauginių įvykių nebuvo. Susidariusios pavojingos ir nepavojingos atliekos yra surenkamos, registruojamos ir priduodamos atliekų tvarkytojams. Kiekvienais metais Bendrovė moka Lietuvos Respublikos nustatytą aplinkos teršimo iš mobilių šaltinių mokestį.</w:t>
      </w:r>
    </w:p>
    <w:p w14:paraId="7A7CAD03" w14:textId="77777777" w:rsidR="00185B15" w:rsidRPr="00247DE9" w:rsidRDefault="00185B15" w:rsidP="00185B15">
      <w:pPr>
        <w:ind w:firstLine="720"/>
        <w:jc w:val="both"/>
        <w:rPr>
          <w:sz w:val="24"/>
          <w:szCs w:val="24"/>
        </w:rPr>
      </w:pPr>
      <w:r w:rsidRPr="00247DE9">
        <w:rPr>
          <w:sz w:val="24"/>
          <w:szCs w:val="24"/>
          <w:lang w:val="lt-LT"/>
        </w:rPr>
        <w:t>Darbo jėga yra vienas iš pagrindinių veiksnių, apsprendžiančių Bendrovės veiklos efektyvumą. 2020 m. pabaigoje dirbo 77 darbuotojai, didžiausią darbuotojų dalį sudarė autobusų vairuotojai – 58 proc. Per metus buvo atleisti 9 darbuotojai.</w:t>
      </w:r>
    </w:p>
    <w:p w14:paraId="1C0635F7" w14:textId="73AB0C89" w:rsidR="00185B15" w:rsidRPr="00247DE9" w:rsidRDefault="00185B15" w:rsidP="00185B15">
      <w:pPr>
        <w:ind w:firstLine="720"/>
        <w:jc w:val="both"/>
        <w:rPr>
          <w:sz w:val="24"/>
          <w:szCs w:val="24"/>
        </w:rPr>
      </w:pPr>
      <w:r w:rsidRPr="00247DE9">
        <w:rPr>
          <w:sz w:val="24"/>
          <w:szCs w:val="24"/>
          <w:lang w:val="lt-LT"/>
        </w:rPr>
        <w:lastRenderedPageBreak/>
        <w:t>Bendrovės vidutinis mėnesinis darbo užmokestis (bruto) sudaro 967 Eur, o autobusų vairuotojų</w:t>
      </w:r>
      <w:r w:rsidR="00327A7B">
        <w:rPr>
          <w:sz w:val="24"/>
          <w:szCs w:val="24"/>
          <w:lang w:val="lt-LT"/>
        </w:rPr>
        <w:t xml:space="preserve"> </w:t>
      </w:r>
      <w:r w:rsidR="00327A7B" w:rsidRPr="00247DE9">
        <w:rPr>
          <w:sz w:val="24"/>
          <w:szCs w:val="24"/>
          <w:lang w:val="lt-LT"/>
        </w:rPr>
        <w:t>–</w:t>
      </w:r>
      <w:r w:rsidRPr="00247DE9">
        <w:rPr>
          <w:sz w:val="24"/>
          <w:szCs w:val="24"/>
          <w:lang w:val="lt-LT"/>
        </w:rPr>
        <w:t xml:space="preserve"> 944 Eur. Vidutinis darbo užmokestis, palyginti su 2019 m., pakilo 55 Eur</w:t>
      </w:r>
      <w:r w:rsidR="00327A7B">
        <w:rPr>
          <w:sz w:val="24"/>
          <w:szCs w:val="24"/>
          <w:lang w:val="lt-LT"/>
        </w:rPr>
        <w:t>,</w:t>
      </w:r>
      <w:r w:rsidRPr="00247DE9">
        <w:rPr>
          <w:sz w:val="24"/>
          <w:szCs w:val="24"/>
          <w:lang w:val="lt-LT"/>
        </w:rPr>
        <w:t xml:space="preserve"> arba 6 proc.</w:t>
      </w:r>
    </w:p>
    <w:p w14:paraId="35511188" w14:textId="79EC634E" w:rsidR="00185B15" w:rsidRPr="00706BB8" w:rsidRDefault="00185B15" w:rsidP="00185B15">
      <w:pPr>
        <w:ind w:firstLine="720"/>
        <w:jc w:val="both"/>
        <w:rPr>
          <w:sz w:val="24"/>
          <w:szCs w:val="24"/>
          <w:lang w:val="lt-LT"/>
        </w:rPr>
      </w:pPr>
      <w:r w:rsidRPr="00247DE9">
        <w:rPr>
          <w:rFonts w:eastAsia="Calibri"/>
          <w:sz w:val="24"/>
          <w:szCs w:val="24"/>
          <w:lang w:val="lt-LT"/>
        </w:rPr>
        <w:t>Darbuotojų vidutinis amžiaus vidurkis – 56</w:t>
      </w:r>
      <w:r w:rsidRPr="00247DE9">
        <w:rPr>
          <w:rFonts w:eastAsia="Calibri"/>
          <w:color w:val="FF0000"/>
          <w:sz w:val="24"/>
          <w:szCs w:val="24"/>
          <w:lang w:val="lt-LT"/>
        </w:rPr>
        <w:t xml:space="preserve"> </w:t>
      </w:r>
      <w:r w:rsidRPr="00247DE9">
        <w:rPr>
          <w:rFonts w:eastAsia="Calibri"/>
          <w:sz w:val="24"/>
          <w:szCs w:val="24"/>
          <w:lang w:val="lt-LT"/>
        </w:rPr>
        <w:t>metai, autobusų vairuotojų - 57 metai. Dėl demografinės padėties, daugumos vairuotojų amžius – priešpensinis. Jaunus žmones, atsižvelgiant į vidutinį Bendrovės darbo užmokestį, pritraukti sunku.</w:t>
      </w:r>
    </w:p>
    <w:p w14:paraId="021A6F38" w14:textId="77777777" w:rsidR="00185B15" w:rsidRPr="00247DE9" w:rsidRDefault="00185B15" w:rsidP="00185B15">
      <w:pPr>
        <w:ind w:firstLine="1134"/>
        <w:jc w:val="both"/>
        <w:rPr>
          <w:rFonts w:eastAsia="Calibri"/>
          <w:sz w:val="24"/>
          <w:szCs w:val="24"/>
          <w:lang w:val="lt-LT"/>
        </w:rPr>
      </w:pPr>
    </w:p>
    <w:p w14:paraId="4B295E88" w14:textId="77777777" w:rsidR="00185B15" w:rsidRPr="00706BB8" w:rsidRDefault="00185B15" w:rsidP="00185B15">
      <w:pPr>
        <w:jc w:val="center"/>
        <w:rPr>
          <w:sz w:val="24"/>
          <w:szCs w:val="24"/>
          <w:lang w:val="lt-LT"/>
        </w:rPr>
      </w:pPr>
      <w:r w:rsidRPr="00247DE9">
        <w:rPr>
          <w:b/>
          <w:sz w:val="24"/>
          <w:szCs w:val="24"/>
          <w:lang w:val="lt-LT"/>
        </w:rPr>
        <w:t>SVARBIAUSI BENDROVĖS ĮVYKIAI</w:t>
      </w:r>
    </w:p>
    <w:p w14:paraId="0D1C612D" w14:textId="77777777" w:rsidR="00185B15" w:rsidRPr="00247DE9" w:rsidRDefault="00185B15" w:rsidP="00185B15">
      <w:pPr>
        <w:rPr>
          <w:b/>
          <w:sz w:val="24"/>
          <w:szCs w:val="24"/>
          <w:lang w:val="lt-LT"/>
        </w:rPr>
      </w:pPr>
    </w:p>
    <w:p w14:paraId="14C8B6B2" w14:textId="3B6E397F" w:rsidR="00185B15" w:rsidRPr="00706BB8" w:rsidRDefault="00185B15" w:rsidP="00185B15">
      <w:pPr>
        <w:ind w:firstLine="720"/>
        <w:jc w:val="both"/>
        <w:rPr>
          <w:sz w:val="24"/>
          <w:szCs w:val="24"/>
          <w:lang w:val="lt-LT"/>
        </w:rPr>
      </w:pPr>
      <w:r w:rsidRPr="00247DE9">
        <w:rPr>
          <w:sz w:val="24"/>
          <w:szCs w:val="24"/>
          <w:lang w:val="lt-LT"/>
        </w:rPr>
        <w:t>2020 m. kovo 16 d. Lietuvos Respublikos teritorijoje paskelbiamas karantinas, kuris sustabdo praktiškai visą tolimąjį susisiekimą.</w:t>
      </w:r>
    </w:p>
    <w:p w14:paraId="731578BE" w14:textId="5A0C76C2" w:rsidR="00185B15" w:rsidRPr="00706BB8" w:rsidRDefault="00185B15" w:rsidP="00185B15">
      <w:pPr>
        <w:ind w:firstLine="720"/>
        <w:jc w:val="both"/>
        <w:rPr>
          <w:sz w:val="24"/>
          <w:szCs w:val="24"/>
          <w:lang w:val="lt-LT"/>
        </w:rPr>
      </w:pPr>
      <w:r w:rsidRPr="00247DE9">
        <w:rPr>
          <w:sz w:val="24"/>
          <w:szCs w:val="24"/>
          <w:lang w:val="lt-LT"/>
        </w:rPr>
        <w:t xml:space="preserve">2020 m. liepos mėnesį Lietuvos Respublikos </w:t>
      </w:r>
      <w:r w:rsidR="00327A7B">
        <w:rPr>
          <w:sz w:val="24"/>
          <w:szCs w:val="24"/>
          <w:lang w:val="lt-LT"/>
        </w:rPr>
        <w:t>k</w:t>
      </w:r>
      <w:r w:rsidRPr="00247DE9">
        <w:rPr>
          <w:sz w:val="24"/>
          <w:szCs w:val="24"/>
          <w:lang w:val="lt-LT"/>
        </w:rPr>
        <w:t xml:space="preserve">onkurencijos </w:t>
      </w:r>
      <w:r w:rsidR="00327A7B">
        <w:rPr>
          <w:sz w:val="24"/>
          <w:szCs w:val="24"/>
          <w:lang w:val="lt-LT"/>
        </w:rPr>
        <w:t>t</w:t>
      </w:r>
      <w:r w:rsidRPr="00247DE9">
        <w:rPr>
          <w:sz w:val="24"/>
          <w:szCs w:val="24"/>
          <w:lang w:val="lt-LT"/>
        </w:rPr>
        <w:t xml:space="preserve">aryba priima sprendimą, kuriuo įpareigoja Lietuvos </w:t>
      </w:r>
      <w:r w:rsidR="00327A7B">
        <w:rPr>
          <w:sz w:val="24"/>
          <w:szCs w:val="24"/>
          <w:lang w:val="lt-LT"/>
        </w:rPr>
        <w:t>t</w:t>
      </w:r>
      <w:r w:rsidRPr="00247DE9">
        <w:rPr>
          <w:sz w:val="24"/>
          <w:szCs w:val="24"/>
          <w:lang w:val="lt-LT"/>
        </w:rPr>
        <w:t>ransporto saugos administraciją (LTSA) nutraukti visas tolimojo susisiekimo sutartis su vežėjais, vėliau šis sprendimas apskundžiamas teismui, kurio procesas vyksta iki šiol.</w:t>
      </w:r>
    </w:p>
    <w:p w14:paraId="19C60610" w14:textId="77777777" w:rsidR="00185B15" w:rsidRPr="00247DE9" w:rsidRDefault="00185B15" w:rsidP="00185B15">
      <w:pPr>
        <w:ind w:firstLine="720"/>
        <w:jc w:val="both"/>
        <w:rPr>
          <w:sz w:val="24"/>
          <w:szCs w:val="24"/>
        </w:rPr>
      </w:pPr>
      <w:r w:rsidRPr="00247DE9">
        <w:rPr>
          <w:sz w:val="24"/>
          <w:szCs w:val="24"/>
          <w:lang w:val="lt-LT"/>
        </w:rPr>
        <w:t>Prasidėjus rudeniui, ateina antroji COVID-19 banga, kuri sukelia dar daugiau nepatogumų vežėjams.</w:t>
      </w:r>
    </w:p>
    <w:p w14:paraId="5CE36329" w14:textId="0AF8EABB" w:rsidR="00185B15" w:rsidRPr="00247DE9" w:rsidRDefault="00185B15" w:rsidP="00185B15">
      <w:pPr>
        <w:ind w:firstLine="720"/>
        <w:jc w:val="both"/>
        <w:rPr>
          <w:sz w:val="24"/>
          <w:szCs w:val="24"/>
        </w:rPr>
      </w:pPr>
      <w:r w:rsidRPr="00247DE9">
        <w:rPr>
          <w:sz w:val="24"/>
          <w:szCs w:val="24"/>
          <w:lang w:val="lt-LT"/>
        </w:rPr>
        <w:t xml:space="preserve">Įpusėjus rudens sezonui Lietuvos Respublikos </w:t>
      </w:r>
      <w:r w:rsidR="00327A7B">
        <w:rPr>
          <w:sz w:val="24"/>
          <w:szCs w:val="24"/>
          <w:lang w:val="lt-LT"/>
        </w:rPr>
        <w:t>v</w:t>
      </w:r>
      <w:r w:rsidRPr="00247DE9">
        <w:rPr>
          <w:sz w:val="24"/>
          <w:szCs w:val="24"/>
          <w:lang w:val="lt-LT"/>
        </w:rPr>
        <w:t xml:space="preserve">idaus </w:t>
      </w:r>
      <w:r w:rsidR="00327A7B">
        <w:rPr>
          <w:sz w:val="24"/>
          <w:szCs w:val="24"/>
          <w:lang w:val="lt-LT"/>
        </w:rPr>
        <w:t>r</w:t>
      </w:r>
      <w:r w:rsidRPr="00247DE9">
        <w:rPr>
          <w:sz w:val="24"/>
          <w:szCs w:val="24"/>
          <w:lang w:val="lt-LT"/>
        </w:rPr>
        <w:t xml:space="preserve">eikalų </w:t>
      </w:r>
      <w:r w:rsidR="00327A7B">
        <w:rPr>
          <w:sz w:val="24"/>
          <w:szCs w:val="24"/>
          <w:lang w:val="lt-LT"/>
        </w:rPr>
        <w:t>m</w:t>
      </w:r>
      <w:r w:rsidRPr="00247DE9">
        <w:rPr>
          <w:sz w:val="24"/>
          <w:szCs w:val="24"/>
          <w:lang w:val="lt-LT"/>
        </w:rPr>
        <w:t xml:space="preserve">inisterija, kartu su LTSA parengia maršrutų tinklo pertvarką, kuri turėtų pradėti veikti 2023 m. </w:t>
      </w:r>
      <w:r w:rsidR="00327A7B">
        <w:rPr>
          <w:sz w:val="24"/>
          <w:szCs w:val="24"/>
          <w:lang w:val="lt-LT"/>
        </w:rPr>
        <w:t>Į v</w:t>
      </w:r>
      <w:r w:rsidRPr="00247DE9">
        <w:rPr>
          <w:sz w:val="24"/>
          <w:szCs w:val="24"/>
          <w:lang w:val="lt-LT"/>
        </w:rPr>
        <w:t>ežėjų nuomon</w:t>
      </w:r>
      <w:r w:rsidR="00327A7B">
        <w:rPr>
          <w:sz w:val="24"/>
          <w:szCs w:val="24"/>
          <w:lang w:val="lt-LT"/>
        </w:rPr>
        <w:t>ę</w:t>
      </w:r>
      <w:r w:rsidRPr="00247DE9">
        <w:rPr>
          <w:sz w:val="24"/>
          <w:szCs w:val="24"/>
          <w:lang w:val="lt-LT"/>
        </w:rPr>
        <w:t xml:space="preserve"> ir pasiūlym</w:t>
      </w:r>
      <w:r w:rsidR="00327A7B">
        <w:rPr>
          <w:sz w:val="24"/>
          <w:szCs w:val="24"/>
          <w:lang w:val="lt-LT"/>
        </w:rPr>
        <w:t>us</w:t>
      </w:r>
      <w:r w:rsidRPr="00247DE9">
        <w:rPr>
          <w:sz w:val="24"/>
          <w:szCs w:val="24"/>
          <w:lang w:val="lt-LT"/>
        </w:rPr>
        <w:t xml:space="preserve"> nelabai </w:t>
      </w:r>
      <w:r w:rsidR="00327A7B">
        <w:rPr>
          <w:sz w:val="24"/>
          <w:szCs w:val="24"/>
          <w:lang w:val="lt-LT"/>
        </w:rPr>
        <w:t>atsižvelgiama.</w:t>
      </w:r>
    </w:p>
    <w:p w14:paraId="1A600373" w14:textId="7CBA9AE0" w:rsidR="00185B15" w:rsidRPr="00247DE9" w:rsidRDefault="00185B15" w:rsidP="00185B15">
      <w:pPr>
        <w:ind w:firstLine="720"/>
        <w:jc w:val="both"/>
        <w:rPr>
          <w:sz w:val="24"/>
          <w:szCs w:val="24"/>
        </w:rPr>
      </w:pPr>
      <w:r w:rsidRPr="00247DE9">
        <w:rPr>
          <w:sz w:val="24"/>
          <w:szCs w:val="24"/>
          <w:lang w:val="lt-LT"/>
        </w:rPr>
        <w:t>2020 m. spalio–lapkričio mėnesiais priimami sprendimai dėl bendrovės valdybos nesudarymo ir įstatinio kapitalo mažinimo.</w:t>
      </w:r>
    </w:p>
    <w:p w14:paraId="7071074D" w14:textId="77777777" w:rsidR="00185B15" w:rsidRPr="00247DE9" w:rsidRDefault="00185B15" w:rsidP="00185B15">
      <w:pPr>
        <w:ind w:firstLine="720"/>
        <w:jc w:val="both"/>
        <w:rPr>
          <w:sz w:val="24"/>
          <w:szCs w:val="24"/>
        </w:rPr>
      </w:pPr>
      <w:r w:rsidRPr="00247DE9">
        <w:rPr>
          <w:sz w:val="24"/>
          <w:szCs w:val="24"/>
          <w:lang w:val="lt-LT"/>
        </w:rPr>
        <w:t>Pasibaigus finansiniams metams, iki šio pranešimo dienos, kitų įvykių, kurie reikalautų papildomų paaiškinimų, nebuvo.</w:t>
      </w:r>
    </w:p>
    <w:p w14:paraId="3B31FB7A" w14:textId="77777777" w:rsidR="00185B15" w:rsidRPr="00247DE9" w:rsidRDefault="00185B15" w:rsidP="00185B15">
      <w:pPr>
        <w:tabs>
          <w:tab w:val="left" w:pos="2265"/>
        </w:tabs>
        <w:jc w:val="both"/>
        <w:rPr>
          <w:sz w:val="24"/>
          <w:szCs w:val="24"/>
          <w:lang w:val="lt-LT"/>
        </w:rPr>
      </w:pPr>
    </w:p>
    <w:p w14:paraId="07893D62" w14:textId="77777777" w:rsidR="00185B15" w:rsidRPr="00706BB8" w:rsidRDefault="00185B15" w:rsidP="00185B15">
      <w:pPr>
        <w:jc w:val="center"/>
        <w:rPr>
          <w:sz w:val="24"/>
          <w:szCs w:val="24"/>
          <w:lang w:val="lt-LT" w:eastAsia="zh-CN"/>
        </w:rPr>
      </w:pPr>
      <w:r w:rsidRPr="00247DE9">
        <w:rPr>
          <w:b/>
          <w:sz w:val="24"/>
          <w:szCs w:val="24"/>
          <w:lang w:val="lt-LT"/>
        </w:rPr>
        <w:t>BENDROVĖS VEIKLOS PLANAI IR PROGNOZĖS</w:t>
      </w:r>
    </w:p>
    <w:p w14:paraId="370485B6" w14:textId="77777777" w:rsidR="00185B15" w:rsidRPr="00247DE9" w:rsidRDefault="00185B15" w:rsidP="00185B15">
      <w:pPr>
        <w:ind w:firstLine="851"/>
        <w:jc w:val="both"/>
        <w:rPr>
          <w:sz w:val="24"/>
          <w:szCs w:val="24"/>
          <w:lang w:val="lt-LT"/>
        </w:rPr>
      </w:pPr>
    </w:p>
    <w:p w14:paraId="438A57EE" w14:textId="77777777" w:rsidR="00185B15" w:rsidRPr="00706BB8" w:rsidRDefault="00185B15" w:rsidP="00185B15">
      <w:pPr>
        <w:ind w:firstLine="851"/>
        <w:jc w:val="both"/>
        <w:rPr>
          <w:sz w:val="24"/>
          <w:szCs w:val="24"/>
          <w:lang w:val="lt-LT" w:eastAsia="zh-CN"/>
        </w:rPr>
      </w:pPr>
      <w:r w:rsidRPr="00247DE9">
        <w:rPr>
          <w:sz w:val="24"/>
          <w:szCs w:val="24"/>
          <w:lang w:val="lt-LT"/>
        </w:rPr>
        <w:t>Pagrindiniai bendrovės veiklos planai siejami su teikiamų paslaugų tinklo išlaikymu ir paslaugų kokybės gerinimu. Sėkmingą veiklą lemia pajamų ir sąnaudų santykis. Pajamų didinimo viena iš priemonių yra keleivių bilietų kainų didinimas. Tačiau didėjanti kaina daro įtaką keleivių skaičiaus mažėjimui, todėl net esant reikšmingam sąnaudų didėjimui negalima bilietų kainų padidinti tiek, kiek padidėja sąnaudos</w:t>
      </w:r>
      <w:r w:rsidRPr="00247DE9">
        <w:rPr>
          <w:i/>
          <w:sz w:val="24"/>
          <w:szCs w:val="24"/>
          <w:lang w:val="lt-LT"/>
        </w:rPr>
        <w:t xml:space="preserve">. </w:t>
      </w:r>
      <w:r w:rsidRPr="00247DE9">
        <w:rPr>
          <w:sz w:val="24"/>
          <w:szCs w:val="24"/>
          <w:lang w:val="lt-LT"/>
        </w:rPr>
        <w:t xml:space="preserve">Būtina peržiūrėti maršrutinių taksi, mokyklinių autobusų maršrutus, kad jie nedubliuotų ir nekonkuruotų su maršrutiniais autobusais. </w:t>
      </w:r>
    </w:p>
    <w:p w14:paraId="2D5C23DF" w14:textId="79339FB0" w:rsidR="00185B15" w:rsidRPr="00247DE9" w:rsidRDefault="00185B15" w:rsidP="00185B15">
      <w:pPr>
        <w:ind w:firstLine="851"/>
        <w:jc w:val="both"/>
        <w:rPr>
          <w:sz w:val="24"/>
          <w:szCs w:val="24"/>
          <w:lang w:val="lt-LT"/>
        </w:rPr>
      </w:pPr>
      <w:r w:rsidRPr="00247DE9">
        <w:rPr>
          <w:sz w:val="24"/>
          <w:szCs w:val="24"/>
          <w:lang w:val="lt-LT"/>
        </w:rPr>
        <w:t>2020 m. keleivių vežėjams ypatingai sunkūs. Nepaisant milžiniškų nuostolių prasidėjus COVID-19 pandemijai, daug nerimo sukėlė ir 2020 m. liepos mėnesį Lietuvos Respublikos Konkurencijos tarybos paskelbta tyrimo išvada, kad privaloma nutraukti</w:t>
      </w:r>
      <w:r w:rsidR="00327A7B">
        <w:rPr>
          <w:sz w:val="24"/>
          <w:szCs w:val="24"/>
          <w:lang w:val="lt-LT"/>
        </w:rPr>
        <w:t>,</w:t>
      </w:r>
      <w:r w:rsidRPr="00247DE9">
        <w:rPr>
          <w:sz w:val="24"/>
          <w:szCs w:val="24"/>
          <w:lang w:val="lt-LT"/>
        </w:rPr>
        <w:t xml:space="preserve"> jų manymu</w:t>
      </w:r>
      <w:r w:rsidR="00327A7B">
        <w:rPr>
          <w:sz w:val="24"/>
          <w:szCs w:val="24"/>
          <w:lang w:val="lt-LT"/>
        </w:rPr>
        <w:t>,</w:t>
      </w:r>
      <w:r w:rsidRPr="00247DE9">
        <w:rPr>
          <w:sz w:val="24"/>
          <w:szCs w:val="24"/>
          <w:lang w:val="lt-LT"/>
        </w:rPr>
        <w:t xml:space="preserve"> neteisėtai pratęstas Tolimojo susisiekimo sutartis tarp LTSA ir vežėjų. LTSA įpareigota nedelsiant nutraukti sutartis, sumokėti baudą ir skelbti naujus vežėjų konkursus. Šis sprendimas, bendradarbiaujant su asociacijomis LINAVA ir LKVA buvo apskųstas teismui. Šiuo metu laukiame galutinio teismo sprendimo, kuris turėtų paaiškėti šių metų rudenį. LTSA šiuo sunkiu vežėjams laikotarpiu neturi kitos išeities kaip tik vykdyti Lietuvos Respublikos Konkurencijos tarybos nurodymus ir jau netrukus skelbs maršrutų vežėjų konkursus. Asmeniškai nerimauju dėl transporto priemonėms keliamų reikalavimų. Jei LTSA konkurso sąlygose nurodys autobusų amžiaus cenzą, gali būti, kad skelbtuose konkursuose net negalėsime dalyvauti.</w:t>
      </w:r>
    </w:p>
    <w:p w14:paraId="42D8F6C1" w14:textId="77777777" w:rsidR="00185B15" w:rsidRPr="00247DE9" w:rsidRDefault="00185B15" w:rsidP="00185B15">
      <w:pPr>
        <w:ind w:firstLine="851"/>
        <w:jc w:val="both"/>
        <w:rPr>
          <w:sz w:val="24"/>
          <w:szCs w:val="24"/>
          <w:lang w:val="lt-LT"/>
        </w:rPr>
      </w:pPr>
      <w:r w:rsidRPr="00247DE9">
        <w:rPr>
          <w:sz w:val="24"/>
          <w:szCs w:val="24"/>
          <w:lang w:val="lt-LT"/>
        </w:rPr>
        <w:t>Taip pat labai neaiški viso viešojo transporto schema. LTSA ir VRM nuo 2023 m. planuoja milžinišką pertvarką, kuri viešojo transporto sektorių pakeistų iš esmės. Šiuo metu ta idėja plėtojama tik dokumentuose, skaičiuojami būsimi kaštai ir nesiimama konkrečių veiksmų – beveik absoliučios daugumos vežėjų manymu – įvykdžius numatytą pertvarką, ne tik žlugtų dauguma vežėjų, tačiau tai būtų ypač nepatogu keleiviams.</w:t>
      </w:r>
    </w:p>
    <w:p w14:paraId="187F34AA" w14:textId="77777777" w:rsidR="00185B15" w:rsidRPr="00706BB8" w:rsidRDefault="00185B15" w:rsidP="00185B15">
      <w:pPr>
        <w:ind w:firstLine="851"/>
        <w:jc w:val="both"/>
        <w:rPr>
          <w:sz w:val="24"/>
          <w:szCs w:val="24"/>
          <w:lang w:val="lt-LT"/>
        </w:rPr>
      </w:pPr>
      <w:r w:rsidRPr="00247DE9">
        <w:rPr>
          <w:sz w:val="24"/>
          <w:szCs w:val="24"/>
          <w:lang w:val="lt-LT"/>
        </w:rPr>
        <w:t>Bendrovė imasi visų priemonių pagal galimybes atnaujinti transporto priemonių parką – skelbsime aukcioną nebereikalingiems autobusams ir pridedant iš Rokiškio rajono savivaldybės pagal numatytą planą gautas lėšas dalinai atnaujinsime vietinio susisiekimo autobusus ir senus nusidėvėjusius pakeisime mažiau taršiais, mažesniais autobusais.</w:t>
      </w:r>
    </w:p>
    <w:p w14:paraId="63141C79" w14:textId="77777777" w:rsidR="00185B15" w:rsidRPr="00706BB8" w:rsidRDefault="00185B15" w:rsidP="00185B15">
      <w:pPr>
        <w:ind w:firstLine="851"/>
        <w:jc w:val="both"/>
        <w:rPr>
          <w:sz w:val="24"/>
          <w:szCs w:val="24"/>
          <w:lang w:val="lt-LT"/>
        </w:rPr>
      </w:pPr>
      <w:r w:rsidRPr="00247DE9">
        <w:rPr>
          <w:sz w:val="24"/>
          <w:szCs w:val="24"/>
          <w:lang w:val="lt-LT"/>
        </w:rPr>
        <w:lastRenderedPageBreak/>
        <w:t>Šiuo metu pagrindinis tikslas užtikrinti mokinių pavežimą į mokyklas ir, esant sudėtingai ekonominei situacijai, išsilaikyti tolimojo susisiekimo autobusų maršrutų rinkoje. Bus nuolat peržiūrimi autobusų maršrutų atskiri reisai, nuolat siekiama racionaliai naudoti darbo ir materialinius resursus. Mokinių vasaros atostogų metu bus sumažintas vietinio susisiekimo maršrutų reisų skaičius, važiuojant ne visomis savaitės dienomis. Tačiau reisų skaičiaus mažinimas turi ir neigiamas pasekmes: pastoviosios ir administracinės sąnaudos pasiskirsto likusiems maršrutams, didindamos jų nuostolius, o keleiviai visiškai atsisako autobusų paslaugų, jei jie važiuoja kartą ar du kartus per savaitę.</w:t>
      </w:r>
    </w:p>
    <w:p w14:paraId="15952913" w14:textId="77777777" w:rsidR="00185B15" w:rsidRPr="00706BB8" w:rsidRDefault="00185B15" w:rsidP="00185B15">
      <w:pPr>
        <w:ind w:firstLine="851"/>
        <w:jc w:val="both"/>
        <w:rPr>
          <w:sz w:val="24"/>
          <w:szCs w:val="24"/>
          <w:lang w:val="lt-LT"/>
        </w:rPr>
      </w:pPr>
      <w:r w:rsidRPr="00247DE9">
        <w:rPr>
          <w:sz w:val="24"/>
          <w:szCs w:val="24"/>
          <w:lang w:val="lt-LT"/>
        </w:rPr>
        <w:t>Keleivių vežimo reguliariais tolimojo susisiekimo maršrutais bei užsakomaisiais reisais veikla bus organizuojama atsižvelgiant į situaciją rinkoje, kuri nuolat stebima ir analizuojama.</w:t>
      </w:r>
    </w:p>
    <w:p w14:paraId="16556C96" w14:textId="77777777" w:rsidR="00185B15" w:rsidRPr="00706BB8" w:rsidRDefault="00185B15" w:rsidP="00185B15">
      <w:pPr>
        <w:ind w:firstLine="851"/>
        <w:jc w:val="both"/>
        <w:rPr>
          <w:sz w:val="24"/>
          <w:szCs w:val="24"/>
          <w:lang w:val="lt-LT"/>
        </w:rPr>
      </w:pPr>
      <w:r w:rsidRPr="00247DE9">
        <w:rPr>
          <w:sz w:val="24"/>
          <w:szCs w:val="24"/>
          <w:lang w:val="lt-LT"/>
        </w:rPr>
        <w:t>Analizuojant bendrovės rodiklius ir situaciją rinkoje artimiausiu metu bendrovės darbo apimtys turėtų išlikti panašios. Tačiau sėkmingą bendrovės veiklą gali sutrikdyti šie faktoriai:</w:t>
      </w:r>
    </w:p>
    <w:p w14:paraId="6633702F" w14:textId="7AB62F6C" w:rsidR="00185B15" w:rsidRPr="00706BB8" w:rsidRDefault="00185B15" w:rsidP="00185B15">
      <w:pPr>
        <w:ind w:firstLine="851"/>
        <w:jc w:val="both"/>
        <w:rPr>
          <w:sz w:val="24"/>
          <w:szCs w:val="24"/>
          <w:lang w:val="lt-LT"/>
        </w:rPr>
      </w:pPr>
      <w:r w:rsidRPr="00247DE9">
        <w:rPr>
          <w:sz w:val="24"/>
          <w:szCs w:val="24"/>
          <w:lang w:val="lt-LT"/>
        </w:rPr>
        <w:t>- pasenę ir susidėvėję autobusai, nes parkas visą laiką bu</w:t>
      </w:r>
      <w:r w:rsidR="00327A7B">
        <w:rPr>
          <w:sz w:val="24"/>
          <w:szCs w:val="24"/>
          <w:lang w:val="lt-LT"/>
        </w:rPr>
        <w:t xml:space="preserve">vo atnaujinamas, </w:t>
      </w:r>
      <w:r w:rsidRPr="00247DE9">
        <w:rPr>
          <w:sz w:val="24"/>
          <w:szCs w:val="24"/>
          <w:lang w:val="lt-LT"/>
        </w:rPr>
        <w:t>pagal finansines galimybes perkant naudotus autobusus</w:t>
      </w:r>
      <w:r w:rsidR="00327A7B">
        <w:rPr>
          <w:sz w:val="24"/>
          <w:szCs w:val="24"/>
          <w:lang w:val="lt-LT"/>
        </w:rPr>
        <w:t>,</w:t>
      </w:r>
      <w:r w:rsidRPr="00247DE9">
        <w:rPr>
          <w:sz w:val="24"/>
          <w:szCs w:val="24"/>
          <w:lang w:val="lt-LT"/>
        </w:rPr>
        <w:t xml:space="preserve"> ir šiuo metu beveik visi yra virš 15 metų;</w:t>
      </w:r>
    </w:p>
    <w:p w14:paraId="5E63B608" w14:textId="77777777" w:rsidR="00185B15" w:rsidRPr="00247DE9" w:rsidRDefault="00185B15" w:rsidP="00185B15">
      <w:pPr>
        <w:ind w:firstLine="851"/>
        <w:jc w:val="both"/>
        <w:rPr>
          <w:sz w:val="24"/>
          <w:szCs w:val="24"/>
        </w:rPr>
      </w:pPr>
      <w:r w:rsidRPr="00247DE9">
        <w:rPr>
          <w:sz w:val="24"/>
          <w:szCs w:val="24"/>
          <w:lang w:val="lt-LT"/>
        </w:rPr>
        <w:t>- minimalios algos didinimas;</w:t>
      </w:r>
    </w:p>
    <w:p w14:paraId="324B2D85" w14:textId="77777777" w:rsidR="00185B15" w:rsidRPr="00247DE9" w:rsidRDefault="00185B15" w:rsidP="00185B15">
      <w:pPr>
        <w:ind w:firstLine="851"/>
        <w:jc w:val="both"/>
        <w:rPr>
          <w:sz w:val="24"/>
          <w:szCs w:val="24"/>
        </w:rPr>
      </w:pPr>
      <w:r w:rsidRPr="00247DE9">
        <w:rPr>
          <w:sz w:val="24"/>
          <w:szCs w:val="24"/>
          <w:lang w:val="lt-LT"/>
        </w:rPr>
        <w:t>- degalų kainos.</w:t>
      </w:r>
    </w:p>
    <w:p w14:paraId="091E0E47" w14:textId="52AC0A15" w:rsidR="00185B15" w:rsidRPr="00706BB8" w:rsidRDefault="00185B15" w:rsidP="00185B15">
      <w:pPr>
        <w:ind w:firstLine="851"/>
        <w:jc w:val="both"/>
        <w:rPr>
          <w:sz w:val="24"/>
          <w:szCs w:val="24"/>
          <w:lang w:val="lt-LT"/>
        </w:rPr>
      </w:pPr>
      <w:r w:rsidRPr="00247DE9">
        <w:rPr>
          <w:rFonts w:eastAsia="Calibri"/>
          <w:sz w:val="24"/>
          <w:szCs w:val="24"/>
          <w:lang w:val="lt-LT"/>
        </w:rPr>
        <w:t>Su Rokiškio rajono savivaldybe numatoma sudaryti tarpusavio atsiskaitymo sutartį, kurioje per penkerius metus bus numatoma grąžint</w:t>
      </w:r>
      <w:r w:rsidR="00327A7B">
        <w:rPr>
          <w:rFonts w:eastAsia="Calibri"/>
          <w:sz w:val="24"/>
          <w:szCs w:val="24"/>
          <w:lang w:val="lt-LT"/>
        </w:rPr>
        <w:t>i</w:t>
      </w:r>
      <w:r w:rsidRPr="00247DE9">
        <w:rPr>
          <w:rFonts w:eastAsia="Calibri"/>
          <w:sz w:val="24"/>
          <w:szCs w:val="24"/>
          <w:lang w:val="lt-LT"/>
        </w:rPr>
        <w:t xml:space="preserve"> susidariusią už nuostolius</w:t>
      </w:r>
      <w:r w:rsidR="00327A7B">
        <w:rPr>
          <w:rFonts w:eastAsia="Calibri"/>
          <w:sz w:val="24"/>
          <w:szCs w:val="24"/>
          <w:lang w:val="lt-LT"/>
        </w:rPr>
        <w:t>,</w:t>
      </w:r>
      <w:r w:rsidRPr="00247DE9">
        <w:rPr>
          <w:rFonts w:eastAsia="Calibri"/>
          <w:sz w:val="24"/>
          <w:szCs w:val="24"/>
          <w:lang w:val="lt-LT"/>
        </w:rPr>
        <w:t xml:space="preserve"> patirtus vykdant keleivinio kelių transporto viešųjų paslaugų įsipareigojimus 2003-2007 metais, 258798 Eur skolą. Pagal numatytą grafiką 2021 metais bus grąžinta 80000 Eur. Šias lėšas bendrovė, a</w:t>
      </w:r>
      <w:r w:rsidRPr="00247DE9">
        <w:rPr>
          <w:sz w:val="24"/>
          <w:szCs w:val="24"/>
          <w:lang w:val="lt-LT"/>
        </w:rPr>
        <w:t>tsižvelgdama į esamą autobusų techninę būklę ir keleivių srautus maršrutuose</w:t>
      </w:r>
      <w:r w:rsidR="00327A7B">
        <w:rPr>
          <w:sz w:val="24"/>
          <w:szCs w:val="24"/>
          <w:lang w:val="lt-LT"/>
        </w:rPr>
        <w:t>,</w:t>
      </w:r>
      <w:r w:rsidRPr="00247DE9">
        <w:rPr>
          <w:sz w:val="24"/>
          <w:szCs w:val="24"/>
          <w:lang w:val="lt-LT"/>
        </w:rPr>
        <w:t xml:space="preserve"> numato panaudoti įsigy</w:t>
      </w:r>
      <w:r w:rsidR="00327A7B">
        <w:rPr>
          <w:sz w:val="24"/>
          <w:szCs w:val="24"/>
          <w:lang w:val="lt-LT"/>
        </w:rPr>
        <w:t>dama</w:t>
      </w:r>
      <w:r w:rsidRPr="00247DE9">
        <w:rPr>
          <w:sz w:val="24"/>
          <w:szCs w:val="24"/>
          <w:lang w:val="lt-LT"/>
        </w:rPr>
        <w:t xml:space="preserve"> 2 naudotus mikroautobusus, kuriuose įrengtos 20–24 sėdimos vietos keleiviams. </w:t>
      </w:r>
    </w:p>
    <w:p w14:paraId="61166DCB" w14:textId="2DB4FDAC" w:rsidR="00185B15" w:rsidRPr="00247DE9" w:rsidRDefault="00185B15" w:rsidP="00247DE9">
      <w:pPr>
        <w:pStyle w:val="Betarp"/>
        <w:ind w:firstLine="720"/>
        <w:jc w:val="both"/>
        <w:rPr>
          <w:rFonts w:ascii="Times New Roman" w:hAnsi="Times New Roman"/>
          <w:sz w:val="24"/>
          <w:szCs w:val="24"/>
        </w:rPr>
      </w:pPr>
      <w:r w:rsidRPr="00247DE9">
        <w:rPr>
          <w:rFonts w:ascii="Times New Roman" w:hAnsi="Times New Roman"/>
          <w:sz w:val="24"/>
          <w:szCs w:val="24"/>
          <w:lang w:eastAsia="lt-LT"/>
        </w:rPr>
        <w:t xml:space="preserve">Bendrovė nuolat siekia pagrindinio tikslo – užtikrinti pelningą veiklą, bet dėl visuomenei būtinos paslaugos teikimo negali atsisakyti visų nuostolingų maršrutų. </w:t>
      </w:r>
      <w:r w:rsidRPr="00247DE9">
        <w:rPr>
          <w:rFonts w:ascii="Times New Roman" w:hAnsi="Times New Roman"/>
          <w:sz w:val="24"/>
          <w:szCs w:val="24"/>
        </w:rPr>
        <w:t>Viešasis transportas nėra pelningas verslas. Beveik visose pasaulio šalyse viešasis transportas yra remiamas bei skirtingais būdais dotuojamas valstybės ar savivaldybės. Jo tarifai negali būti tokio dydžio, kad užtikrintų pelningą vežėjų darbą. Galima teigti, kad vietinis susisiekimas šiuo metu lieka tik socialinė funkcija, o tolimajame susisiekime liks stipriausi – teikiantys ypač kokybiškas paslaugas galintys pasiūlyti patogias ir komfortiškas keliones naujomis transporto priemonėmis. Lietuva yra užsibrėžusi tikslą, kad iki 2029 m. viešojo transporto sektoriuje liktų tik ekologiškos - „žalios“ transporto priemonės: tai yra elektriniai arba suspaustomis gamtinėmis dujomis varomi autobusai. Tikslai ambicingi, tačiau be pačios valstybės paramos – praktiškai neįgyvendinami. Tikimės Rokiškio rajono savivaldybės atitinkamo požiūrio į rajono viešojo transporto vystymą ir finansinės paramos bendrovės užsibrėžtų tikslų įgyvendinimui.</w:t>
      </w:r>
    </w:p>
    <w:p w14:paraId="347EE0D6" w14:textId="77777777" w:rsidR="00185B15" w:rsidRPr="00247DE9" w:rsidRDefault="00185B15" w:rsidP="00185B15">
      <w:pPr>
        <w:pStyle w:val="Betarp"/>
        <w:ind w:firstLine="1134"/>
        <w:jc w:val="both"/>
        <w:rPr>
          <w:rFonts w:ascii="Times New Roman" w:hAnsi="Times New Roman"/>
          <w:i/>
          <w:sz w:val="24"/>
          <w:szCs w:val="24"/>
        </w:rPr>
      </w:pPr>
    </w:p>
    <w:p w14:paraId="169462E0" w14:textId="77777777" w:rsidR="00185B15" w:rsidRPr="00247DE9" w:rsidRDefault="00185B15" w:rsidP="00185B15">
      <w:pPr>
        <w:jc w:val="both"/>
        <w:rPr>
          <w:sz w:val="24"/>
          <w:szCs w:val="24"/>
          <w:lang w:val="lt-LT"/>
        </w:rPr>
      </w:pPr>
    </w:p>
    <w:p w14:paraId="55A1F69A" w14:textId="13748A13" w:rsidR="00185B15" w:rsidRPr="00247DE9" w:rsidRDefault="002F7C99" w:rsidP="00185B15">
      <w:pPr>
        <w:jc w:val="both"/>
        <w:rPr>
          <w:sz w:val="24"/>
          <w:szCs w:val="24"/>
          <w:lang w:val="lt-LT"/>
        </w:rPr>
      </w:pPr>
      <w:r>
        <w:rPr>
          <w:sz w:val="24"/>
          <w:szCs w:val="24"/>
          <w:lang w:val="lt-LT"/>
        </w:rPr>
        <w:t>Bendrovės direktorius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0B31F3">
        <w:rPr>
          <w:sz w:val="24"/>
          <w:szCs w:val="24"/>
          <w:lang w:val="lt-LT"/>
        </w:rPr>
        <w:tab/>
      </w:r>
      <w:r>
        <w:rPr>
          <w:sz w:val="24"/>
          <w:szCs w:val="24"/>
          <w:lang w:val="lt-LT"/>
        </w:rPr>
        <w:t>Antanas Taparauskas</w:t>
      </w:r>
    </w:p>
    <w:p w14:paraId="417E59DF" w14:textId="77777777" w:rsidR="00185B15" w:rsidRPr="00247DE9" w:rsidRDefault="00185B15" w:rsidP="00185B15">
      <w:pPr>
        <w:jc w:val="both"/>
        <w:rPr>
          <w:sz w:val="24"/>
          <w:szCs w:val="24"/>
          <w:lang w:val="en-US"/>
        </w:rPr>
      </w:pPr>
    </w:p>
    <w:p w14:paraId="05DA7CD2" w14:textId="56F1208A" w:rsidR="004E48E7" w:rsidRPr="00247DE9" w:rsidRDefault="003815FC" w:rsidP="003815FC">
      <w:pPr>
        <w:ind w:firstLine="720"/>
        <w:jc w:val="center"/>
        <w:rPr>
          <w:b/>
          <w:sz w:val="24"/>
          <w:szCs w:val="24"/>
          <w:lang w:val="lt-LT"/>
        </w:rPr>
      </w:pPr>
      <w:r w:rsidRPr="00247DE9">
        <w:rPr>
          <w:b/>
          <w:sz w:val="24"/>
          <w:szCs w:val="24"/>
          <w:lang w:val="lt-LT"/>
        </w:rPr>
        <w:t>_____________________________________</w:t>
      </w:r>
    </w:p>
    <w:p w14:paraId="05DA7CD3" w14:textId="77777777" w:rsidR="004E48E7" w:rsidRPr="00247DE9" w:rsidRDefault="004E48E7" w:rsidP="00932F6C">
      <w:pPr>
        <w:ind w:firstLine="720"/>
        <w:jc w:val="both"/>
        <w:rPr>
          <w:b/>
          <w:sz w:val="24"/>
          <w:szCs w:val="24"/>
          <w:lang w:val="lt-LT"/>
        </w:rPr>
      </w:pPr>
    </w:p>
    <w:p w14:paraId="32DFFC3A" w14:textId="77777777" w:rsidR="00247DE9" w:rsidRDefault="00247DE9" w:rsidP="00932F6C">
      <w:pPr>
        <w:ind w:firstLine="720"/>
        <w:jc w:val="both"/>
        <w:rPr>
          <w:sz w:val="24"/>
          <w:szCs w:val="24"/>
          <w:lang w:val="lt-LT"/>
        </w:rPr>
      </w:pPr>
    </w:p>
    <w:p w14:paraId="55DC1C3A" w14:textId="77777777" w:rsidR="00247DE9" w:rsidRDefault="00247DE9" w:rsidP="00932F6C">
      <w:pPr>
        <w:ind w:firstLine="720"/>
        <w:jc w:val="both"/>
        <w:rPr>
          <w:sz w:val="24"/>
          <w:szCs w:val="24"/>
          <w:lang w:val="lt-LT"/>
        </w:rPr>
      </w:pPr>
    </w:p>
    <w:p w14:paraId="7833D122" w14:textId="77777777" w:rsidR="00247DE9" w:rsidRDefault="00247DE9" w:rsidP="00932F6C">
      <w:pPr>
        <w:ind w:firstLine="720"/>
        <w:jc w:val="both"/>
        <w:rPr>
          <w:sz w:val="24"/>
          <w:szCs w:val="24"/>
          <w:lang w:val="lt-LT"/>
        </w:rPr>
      </w:pPr>
    </w:p>
    <w:p w14:paraId="76EAED0D" w14:textId="77777777" w:rsidR="00247DE9" w:rsidRDefault="00247DE9" w:rsidP="00932F6C">
      <w:pPr>
        <w:ind w:firstLine="720"/>
        <w:jc w:val="both"/>
        <w:rPr>
          <w:sz w:val="24"/>
          <w:szCs w:val="24"/>
          <w:lang w:val="lt-LT"/>
        </w:rPr>
      </w:pPr>
    </w:p>
    <w:p w14:paraId="2D94F48C" w14:textId="77777777" w:rsidR="00247DE9" w:rsidRDefault="00247DE9" w:rsidP="00932F6C">
      <w:pPr>
        <w:ind w:firstLine="720"/>
        <w:jc w:val="both"/>
        <w:rPr>
          <w:sz w:val="24"/>
          <w:szCs w:val="24"/>
          <w:lang w:val="lt-LT"/>
        </w:rPr>
      </w:pPr>
    </w:p>
    <w:p w14:paraId="46767D32" w14:textId="77777777" w:rsidR="00247DE9" w:rsidRDefault="00247DE9" w:rsidP="00932F6C">
      <w:pPr>
        <w:ind w:firstLine="720"/>
        <w:jc w:val="both"/>
        <w:rPr>
          <w:sz w:val="24"/>
          <w:szCs w:val="24"/>
          <w:lang w:val="lt-LT"/>
        </w:rPr>
      </w:pPr>
    </w:p>
    <w:p w14:paraId="4AADB4F0" w14:textId="77777777" w:rsidR="00247DE9" w:rsidRDefault="00247DE9" w:rsidP="00932F6C">
      <w:pPr>
        <w:ind w:firstLine="720"/>
        <w:jc w:val="both"/>
        <w:rPr>
          <w:sz w:val="24"/>
          <w:szCs w:val="24"/>
          <w:lang w:val="lt-LT"/>
        </w:rPr>
      </w:pPr>
    </w:p>
    <w:p w14:paraId="050349DC" w14:textId="77777777" w:rsidR="00247DE9" w:rsidRDefault="00247DE9" w:rsidP="00932F6C">
      <w:pPr>
        <w:ind w:firstLine="720"/>
        <w:jc w:val="both"/>
        <w:rPr>
          <w:sz w:val="24"/>
          <w:szCs w:val="24"/>
          <w:lang w:val="lt-LT"/>
        </w:rPr>
      </w:pPr>
    </w:p>
    <w:p w14:paraId="6A353B43" w14:textId="77777777" w:rsidR="00247DE9" w:rsidRDefault="00247DE9" w:rsidP="00932F6C">
      <w:pPr>
        <w:ind w:firstLine="720"/>
        <w:jc w:val="both"/>
        <w:rPr>
          <w:sz w:val="24"/>
          <w:szCs w:val="24"/>
          <w:lang w:val="lt-LT"/>
        </w:rPr>
      </w:pPr>
    </w:p>
    <w:p w14:paraId="172F57FA" w14:textId="77777777" w:rsidR="00247DE9" w:rsidRDefault="00247DE9" w:rsidP="00932F6C">
      <w:pPr>
        <w:ind w:firstLine="720"/>
        <w:jc w:val="both"/>
        <w:rPr>
          <w:sz w:val="24"/>
          <w:szCs w:val="24"/>
          <w:lang w:val="lt-LT"/>
        </w:rPr>
      </w:pPr>
    </w:p>
    <w:p w14:paraId="0E4ED51C" w14:textId="77777777" w:rsidR="00247DE9" w:rsidRDefault="00247DE9" w:rsidP="00932F6C">
      <w:pPr>
        <w:ind w:firstLine="720"/>
        <w:jc w:val="both"/>
        <w:rPr>
          <w:sz w:val="24"/>
          <w:szCs w:val="24"/>
          <w:lang w:val="lt-LT"/>
        </w:rPr>
      </w:pPr>
    </w:p>
    <w:p w14:paraId="01524AFF" w14:textId="77777777" w:rsidR="00247DE9" w:rsidRDefault="00247DE9" w:rsidP="00932F6C">
      <w:pPr>
        <w:ind w:firstLine="720"/>
        <w:jc w:val="both"/>
        <w:rPr>
          <w:sz w:val="24"/>
          <w:szCs w:val="24"/>
          <w:lang w:val="lt-LT"/>
        </w:rPr>
      </w:pPr>
    </w:p>
    <w:p w14:paraId="05DA7CDB" w14:textId="77777777" w:rsidR="00932F6C" w:rsidRPr="00247DE9" w:rsidRDefault="00932F6C" w:rsidP="00932F6C">
      <w:pPr>
        <w:ind w:firstLine="720"/>
        <w:jc w:val="both"/>
        <w:rPr>
          <w:sz w:val="24"/>
          <w:szCs w:val="24"/>
          <w:lang w:val="lt-LT"/>
        </w:rPr>
      </w:pPr>
      <w:r w:rsidRPr="00247DE9">
        <w:rPr>
          <w:sz w:val="24"/>
          <w:szCs w:val="24"/>
          <w:lang w:val="lt-LT"/>
        </w:rPr>
        <w:lastRenderedPageBreak/>
        <w:t>Rokiškio rajono savivaldybės tarybai</w:t>
      </w:r>
    </w:p>
    <w:p w14:paraId="05DA7CDC" w14:textId="77777777" w:rsidR="00932F6C" w:rsidRPr="00247DE9" w:rsidRDefault="00932F6C" w:rsidP="00932F6C">
      <w:pPr>
        <w:ind w:firstLine="720"/>
        <w:jc w:val="center"/>
        <w:rPr>
          <w:b/>
          <w:sz w:val="24"/>
          <w:szCs w:val="24"/>
          <w:lang w:val="lt-LT"/>
        </w:rPr>
      </w:pPr>
    </w:p>
    <w:p w14:paraId="0914F962" w14:textId="0D6490DF" w:rsidR="00C00ECB" w:rsidRPr="00247DE9" w:rsidRDefault="00932F6C" w:rsidP="00C00ECB">
      <w:pPr>
        <w:ind w:firstLine="720"/>
        <w:jc w:val="center"/>
        <w:rPr>
          <w:b/>
          <w:sz w:val="24"/>
          <w:szCs w:val="24"/>
          <w:lang w:val="lt-LT"/>
        </w:rPr>
      </w:pPr>
      <w:r w:rsidRPr="00247DE9">
        <w:rPr>
          <w:b/>
          <w:sz w:val="24"/>
          <w:szCs w:val="24"/>
          <w:lang w:val="lt-LT"/>
        </w:rPr>
        <w:t>SPR</w:t>
      </w:r>
      <w:r w:rsidR="008258B3" w:rsidRPr="00247DE9">
        <w:rPr>
          <w:b/>
          <w:sz w:val="24"/>
          <w:szCs w:val="24"/>
          <w:lang w:val="lt-LT"/>
        </w:rPr>
        <w:t>ENDIMO PROJEKTO ,,DĖL PRITARIMO</w:t>
      </w:r>
      <w:r w:rsidRPr="00247DE9">
        <w:rPr>
          <w:b/>
          <w:sz w:val="24"/>
          <w:szCs w:val="24"/>
          <w:lang w:val="lt-LT"/>
        </w:rPr>
        <w:t xml:space="preserve"> </w:t>
      </w:r>
      <w:r w:rsidR="00074117" w:rsidRPr="00247DE9">
        <w:rPr>
          <w:b/>
          <w:sz w:val="24"/>
          <w:szCs w:val="24"/>
          <w:lang w:val="lt-LT"/>
        </w:rPr>
        <w:t>UŽDAROSIOS AKCINĖS BENDROVĖS „ROKIŠKIO AUTOBUSŲ PARKAS“</w:t>
      </w:r>
      <w:r w:rsidR="001F26FA" w:rsidRPr="00247DE9">
        <w:rPr>
          <w:b/>
          <w:sz w:val="24"/>
          <w:szCs w:val="24"/>
          <w:lang w:val="lt-LT"/>
        </w:rPr>
        <w:t xml:space="preserve"> </w:t>
      </w:r>
      <w:r w:rsidRPr="00247DE9">
        <w:rPr>
          <w:b/>
          <w:sz w:val="24"/>
          <w:szCs w:val="24"/>
          <w:lang w:val="lt-LT"/>
        </w:rPr>
        <w:t>20</w:t>
      </w:r>
      <w:r w:rsidR="00247DE9">
        <w:rPr>
          <w:b/>
          <w:sz w:val="24"/>
          <w:szCs w:val="24"/>
          <w:lang w:val="lt-LT"/>
        </w:rPr>
        <w:t>20</w:t>
      </w:r>
      <w:r w:rsidRPr="00247DE9">
        <w:rPr>
          <w:b/>
          <w:sz w:val="24"/>
          <w:szCs w:val="24"/>
          <w:lang w:val="lt-LT"/>
        </w:rPr>
        <w:t xml:space="preserve"> METŲ VEIKLOS ATASKAITAI“</w:t>
      </w:r>
      <w:r w:rsidR="00C00ECB" w:rsidRPr="00247DE9">
        <w:rPr>
          <w:b/>
          <w:sz w:val="24"/>
          <w:szCs w:val="24"/>
          <w:lang w:val="lt-LT"/>
        </w:rPr>
        <w:t xml:space="preserve"> AIŠKINAMASIS RAŠTAS</w:t>
      </w:r>
    </w:p>
    <w:p w14:paraId="05DA7CDF" w14:textId="77777777" w:rsidR="00932F6C" w:rsidRPr="00247DE9" w:rsidRDefault="00932F6C" w:rsidP="00932F6C">
      <w:pPr>
        <w:jc w:val="center"/>
        <w:rPr>
          <w:sz w:val="24"/>
          <w:szCs w:val="24"/>
          <w:lang w:val="lt-LT"/>
        </w:rPr>
      </w:pPr>
    </w:p>
    <w:p w14:paraId="05DA7CE0" w14:textId="77777777" w:rsidR="00932F6C" w:rsidRPr="00247DE9" w:rsidRDefault="00932F6C" w:rsidP="00932F6C">
      <w:pPr>
        <w:ind w:firstLine="720"/>
        <w:jc w:val="center"/>
        <w:rPr>
          <w:b/>
          <w:sz w:val="24"/>
          <w:szCs w:val="24"/>
          <w:lang w:val="lt-LT"/>
        </w:rPr>
      </w:pPr>
    </w:p>
    <w:p w14:paraId="05DA7CE1" w14:textId="77777777" w:rsidR="004A7A22" w:rsidRPr="00247DE9" w:rsidRDefault="004A7A22" w:rsidP="004A7A22">
      <w:pPr>
        <w:ind w:firstLine="720"/>
        <w:jc w:val="both"/>
        <w:rPr>
          <w:b/>
          <w:sz w:val="24"/>
          <w:szCs w:val="24"/>
          <w:lang w:val="lt-LT"/>
        </w:rPr>
      </w:pPr>
      <w:r w:rsidRPr="00247DE9">
        <w:rPr>
          <w:b/>
          <w:sz w:val="24"/>
          <w:szCs w:val="24"/>
          <w:lang w:val="lt-LT"/>
        </w:rPr>
        <w:t>Parengt</w:t>
      </w:r>
      <w:r w:rsidR="008258B3" w:rsidRPr="00247DE9">
        <w:rPr>
          <w:b/>
          <w:sz w:val="24"/>
          <w:szCs w:val="24"/>
          <w:lang w:val="lt-LT"/>
        </w:rPr>
        <w:t xml:space="preserve">o sprendimo projekto tikslai ir </w:t>
      </w:r>
      <w:r w:rsidRPr="00247DE9">
        <w:rPr>
          <w:b/>
          <w:sz w:val="24"/>
          <w:szCs w:val="24"/>
          <w:lang w:val="lt-LT"/>
        </w:rPr>
        <w:t xml:space="preserve">uždaviniai. </w:t>
      </w:r>
    </w:p>
    <w:p w14:paraId="05DA7CE2" w14:textId="77777777" w:rsidR="004A7A22" w:rsidRPr="00247DE9" w:rsidRDefault="004A7A22" w:rsidP="004A7A22">
      <w:pPr>
        <w:ind w:firstLine="720"/>
        <w:jc w:val="both"/>
        <w:rPr>
          <w:sz w:val="24"/>
          <w:szCs w:val="24"/>
          <w:lang w:val="lt-LT"/>
        </w:rPr>
      </w:pPr>
      <w:r w:rsidRPr="00247DE9">
        <w:rPr>
          <w:sz w:val="24"/>
          <w:szCs w:val="24"/>
          <w:lang w:val="lt-LT"/>
        </w:rPr>
        <w:t>Kaip yra numatyta Lietuvos Respublikos vietos savivaldos įstatyme ir Rokiškio rajono savivaldybės tarybos veiklos reglame</w:t>
      </w:r>
      <w:r w:rsidR="008258B3" w:rsidRPr="00247DE9">
        <w:rPr>
          <w:sz w:val="24"/>
          <w:szCs w:val="24"/>
          <w:lang w:val="lt-LT"/>
        </w:rPr>
        <w:t xml:space="preserve">nte, teikiama tarybai </w:t>
      </w:r>
      <w:r w:rsidR="00620389" w:rsidRPr="00247DE9">
        <w:rPr>
          <w:sz w:val="24"/>
          <w:szCs w:val="24"/>
          <w:lang w:val="lt-LT"/>
        </w:rPr>
        <w:t xml:space="preserve">pritarti </w:t>
      </w:r>
      <w:r w:rsidR="008258B3" w:rsidRPr="00247DE9">
        <w:rPr>
          <w:sz w:val="24"/>
          <w:szCs w:val="24"/>
          <w:lang w:val="lt-LT"/>
        </w:rPr>
        <w:t xml:space="preserve">bendrovės </w:t>
      </w:r>
      <w:r w:rsidRPr="00247DE9">
        <w:rPr>
          <w:sz w:val="24"/>
          <w:szCs w:val="24"/>
          <w:lang w:val="lt-LT"/>
        </w:rPr>
        <w:t>veiklos ataskaita.</w:t>
      </w:r>
    </w:p>
    <w:p w14:paraId="05DA7CE3" w14:textId="77777777" w:rsidR="004A7A22" w:rsidRPr="00247DE9" w:rsidRDefault="004A7A22" w:rsidP="004A7A22">
      <w:pPr>
        <w:ind w:firstLine="709"/>
        <w:jc w:val="both"/>
        <w:rPr>
          <w:sz w:val="24"/>
          <w:szCs w:val="24"/>
          <w:lang w:val="lt-LT"/>
        </w:rPr>
      </w:pPr>
      <w:r w:rsidRPr="00247DE9">
        <w:rPr>
          <w:b/>
          <w:bCs/>
          <w:sz w:val="24"/>
          <w:szCs w:val="24"/>
          <w:lang w:val="lt-LT"/>
        </w:rPr>
        <w:t>Šiuo metu esantis teisinis reglamentavimas.</w:t>
      </w:r>
      <w:r w:rsidRPr="00247DE9">
        <w:rPr>
          <w:sz w:val="24"/>
          <w:szCs w:val="24"/>
          <w:lang w:val="lt-LT"/>
        </w:rPr>
        <w:t xml:space="preserve"> </w:t>
      </w:r>
    </w:p>
    <w:p w14:paraId="703E1C47" w14:textId="77777777" w:rsidR="00C00ECB" w:rsidRPr="00247DE9" w:rsidRDefault="004A7A22" w:rsidP="00C00ECB">
      <w:pPr>
        <w:ind w:firstLine="709"/>
        <w:jc w:val="both"/>
        <w:rPr>
          <w:sz w:val="24"/>
          <w:szCs w:val="24"/>
          <w:lang w:val="lt-LT"/>
        </w:rPr>
      </w:pPr>
      <w:r w:rsidRPr="00247DE9">
        <w:rPr>
          <w:sz w:val="24"/>
          <w:szCs w:val="24"/>
          <w:lang w:val="lt-LT"/>
        </w:rPr>
        <w:t>Lietuvos Respublik</w:t>
      </w:r>
      <w:r w:rsidR="008258B3" w:rsidRPr="00247DE9">
        <w:rPr>
          <w:sz w:val="24"/>
          <w:szCs w:val="24"/>
          <w:lang w:val="lt-LT"/>
        </w:rPr>
        <w:t xml:space="preserve">os vietos savivaldos įstatymas </w:t>
      </w:r>
      <w:r w:rsidRPr="00247DE9">
        <w:rPr>
          <w:sz w:val="24"/>
          <w:szCs w:val="24"/>
          <w:lang w:val="lt-LT"/>
        </w:rPr>
        <w:t>ir Rokiškio rajono savivaldybės tarybos veiklos reglamentas.</w:t>
      </w:r>
    </w:p>
    <w:p w14:paraId="183F3B8D" w14:textId="77777777" w:rsidR="00C00ECB" w:rsidRPr="00247DE9" w:rsidRDefault="004A7A22" w:rsidP="00C00ECB">
      <w:pPr>
        <w:ind w:firstLine="709"/>
        <w:jc w:val="both"/>
        <w:rPr>
          <w:sz w:val="24"/>
          <w:szCs w:val="24"/>
          <w:lang w:val="lt-LT"/>
        </w:rPr>
      </w:pPr>
      <w:r w:rsidRPr="00247DE9">
        <w:rPr>
          <w:b/>
          <w:bCs/>
          <w:sz w:val="24"/>
          <w:szCs w:val="24"/>
          <w:lang w:val="lt-LT"/>
        </w:rPr>
        <w:t>Sprendimo projekto esmė.</w:t>
      </w:r>
      <w:r w:rsidRPr="00247DE9">
        <w:rPr>
          <w:sz w:val="24"/>
          <w:szCs w:val="24"/>
          <w:lang w:val="lt-LT"/>
        </w:rPr>
        <w:t xml:space="preserve"> </w:t>
      </w:r>
    </w:p>
    <w:p w14:paraId="5950EA22" w14:textId="58156ECE" w:rsidR="00C00ECB" w:rsidRPr="00247DE9" w:rsidRDefault="004A7A22" w:rsidP="00C00ECB">
      <w:pPr>
        <w:ind w:firstLine="709"/>
        <w:jc w:val="both"/>
        <w:rPr>
          <w:sz w:val="24"/>
          <w:szCs w:val="24"/>
          <w:lang w:val="lt-LT"/>
        </w:rPr>
      </w:pPr>
      <w:r w:rsidRPr="00247DE9">
        <w:rPr>
          <w:sz w:val="24"/>
          <w:szCs w:val="24"/>
          <w:lang w:val="lt-LT"/>
        </w:rPr>
        <w:t xml:space="preserve">Lietuvos Respublikos vietos savivaldos įstatymo 16 </w:t>
      </w:r>
      <w:r w:rsidR="008258B3" w:rsidRPr="00247DE9">
        <w:rPr>
          <w:sz w:val="24"/>
          <w:szCs w:val="24"/>
          <w:lang w:val="lt-LT"/>
        </w:rPr>
        <w:t xml:space="preserve">straipsnio 2 dalies 19 punkte, </w:t>
      </w:r>
      <w:r w:rsidRPr="00247DE9">
        <w:rPr>
          <w:sz w:val="24"/>
          <w:szCs w:val="24"/>
          <w:lang w:val="lt-LT"/>
        </w:rPr>
        <w:t>Rokiškio rajono sav</w:t>
      </w:r>
      <w:r w:rsidR="008258B3" w:rsidRPr="00247DE9">
        <w:rPr>
          <w:sz w:val="24"/>
          <w:szCs w:val="24"/>
          <w:lang w:val="lt-LT"/>
        </w:rPr>
        <w:t>ivaldybės tarybos</w:t>
      </w:r>
      <w:r w:rsidR="00620389" w:rsidRPr="00247DE9">
        <w:rPr>
          <w:sz w:val="24"/>
          <w:szCs w:val="24"/>
          <w:lang w:val="lt-LT"/>
        </w:rPr>
        <w:t xml:space="preserve"> 2019 m.</w:t>
      </w:r>
      <w:r w:rsidR="008258B3" w:rsidRPr="00247DE9">
        <w:rPr>
          <w:sz w:val="24"/>
          <w:szCs w:val="24"/>
          <w:lang w:val="lt-LT"/>
        </w:rPr>
        <w:t xml:space="preserve"> </w:t>
      </w:r>
      <w:r w:rsidR="00620389" w:rsidRPr="00247DE9">
        <w:rPr>
          <w:sz w:val="24"/>
          <w:szCs w:val="24"/>
          <w:lang w:val="lt-LT" w:eastAsia="ar-SA"/>
        </w:rPr>
        <w:t xml:space="preserve">kovo 29 d. sprendimu Nr. TS-43 </w:t>
      </w:r>
      <w:r w:rsidRPr="00247DE9">
        <w:rPr>
          <w:sz w:val="24"/>
          <w:szCs w:val="24"/>
          <w:lang w:val="lt-LT"/>
        </w:rPr>
        <w:t>patvirtintame Rokiškio rajono savivaldybės tarybos veiklos</w:t>
      </w:r>
      <w:r w:rsidR="008258B3" w:rsidRPr="00247DE9">
        <w:rPr>
          <w:sz w:val="24"/>
          <w:szCs w:val="24"/>
          <w:lang w:val="lt-LT"/>
        </w:rPr>
        <w:t xml:space="preserve"> reglamente numatyta, </w:t>
      </w:r>
      <w:r w:rsidRPr="00247DE9">
        <w:rPr>
          <w:sz w:val="24"/>
          <w:szCs w:val="24"/>
          <w:lang w:val="lt-LT"/>
        </w:rPr>
        <w:t>kad savivaldybės taryba išklauso</w:t>
      </w:r>
      <w:r w:rsidR="008258B3" w:rsidRPr="00247DE9">
        <w:rPr>
          <w:sz w:val="24"/>
          <w:szCs w:val="24"/>
          <w:lang w:val="lt-LT"/>
        </w:rPr>
        <w:t xml:space="preserve"> </w:t>
      </w:r>
      <w:r w:rsidRPr="00247DE9">
        <w:rPr>
          <w:sz w:val="24"/>
          <w:szCs w:val="24"/>
          <w:lang w:val="lt-LT"/>
        </w:rPr>
        <w:t>savivaldybės kontroliuojamų įmonių vadovų ataskaitas, vadovų atsakymus į tarybos narių paklausimus ir priima sprendimus dėl</w:t>
      </w:r>
      <w:r w:rsidR="008258B3" w:rsidRPr="00247DE9">
        <w:rPr>
          <w:sz w:val="24"/>
          <w:szCs w:val="24"/>
          <w:lang w:val="lt-LT"/>
        </w:rPr>
        <w:t xml:space="preserve"> šių ataskaitų. </w:t>
      </w:r>
      <w:r w:rsidR="001F26FA" w:rsidRPr="00247DE9">
        <w:rPr>
          <w:sz w:val="24"/>
          <w:szCs w:val="24"/>
          <w:lang w:val="lt-LT"/>
        </w:rPr>
        <w:t xml:space="preserve">Dėl to teikiama tarybai </w:t>
      </w:r>
      <w:r w:rsidR="00074117" w:rsidRPr="00247DE9">
        <w:rPr>
          <w:sz w:val="24"/>
          <w:szCs w:val="24"/>
          <w:lang w:val="lt-LT"/>
        </w:rPr>
        <w:t>UAB ,,Rokiškio autobusų parkas“, kurioje visos akcijos priklauso Rokiškio rajono savivaldybei, 20</w:t>
      </w:r>
      <w:r w:rsidR="00247DE9">
        <w:rPr>
          <w:sz w:val="24"/>
          <w:szCs w:val="24"/>
          <w:lang w:val="lt-LT"/>
        </w:rPr>
        <w:t>20</w:t>
      </w:r>
      <w:r w:rsidR="00074117" w:rsidRPr="00247DE9">
        <w:rPr>
          <w:sz w:val="24"/>
          <w:szCs w:val="24"/>
          <w:lang w:val="lt-LT"/>
        </w:rPr>
        <w:t xml:space="preserve"> metų veiklos ataskaita. Ataskaitoje pateikti duomenys apie bendrovę, darbuotojus, jų darbo apmokėjimą, turtą, bendrovės ūkinę veiklą, finansinius rodiklius, bendrovės veiklos planai. </w:t>
      </w:r>
    </w:p>
    <w:p w14:paraId="05DA7CE7" w14:textId="1032F611" w:rsidR="004A7A22" w:rsidRPr="00247DE9" w:rsidRDefault="004A7A22" w:rsidP="00C00ECB">
      <w:pPr>
        <w:ind w:firstLine="709"/>
        <w:jc w:val="both"/>
        <w:rPr>
          <w:sz w:val="24"/>
          <w:szCs w:val="24"/>
          <w:lang w:val="lt-LT"/>
        </w:rPr>
      </w:pPr>
      <w:r w:rsidRPr="00247DE9">
        <w:rPr>
          <w:b/>
          <w:sz w:val="24"/>
          <w:szCs w:val="24"/>
          <w:lang w:val="lt-LT"/>
        </w:rPr>
        <w:t>Galimos pasekmės, priėmus siūlomą tarybos sprendimo projektą:</w:t>
      </w:r>
    </w:p>
    <w:p w14:paraId="05DA7CE8" w14:textId="168DCB9E" w:rsidR="004A7A22" w:rsidRPr="00247DE9" w:rsidRDefault="004A7A22" w:rsidP="004A7A22">
      <w:pPr>
        <w:tabs>
          <w:tab w:val="left" w:pos="1134"/>
        </w:tabs>
        <w:autoSpaceDE w:val="0"/>
        <w:autoSpaceDN w:val="0"/>
        <w:adjustRightInd w:val="0"/>
        <w:ind w:firstLine="720"/>
        <w:jc w:val="both"/>
        <w:rPr>
          <w:sz w:val="24"/>
          <w:szCs w:val="24"/>
          <w:lang w:val="lt-LT"/>
        </w:rPr>
      </w:pPr>
      <w:r w:rsidRPr="00247DE9">
        <w:rPr>
          <w:b/>
          <w:sz w:val="24"/>
          <w:szCs w:val="24"/>
          <w:lang w:val="lt-LT"/>
        </w:rPr>
        <w:t>teigiamos</w:t>
      </w:r>
      <w:r w:rsidRPr="00247DE9">
        <w:rPr>
          <w:sz w:val="24"/>
          <w:szCs w:val="24"/>
          <w:lang w:val="lt-LT"/>
        </w:rPr>
        <w:t xml:space="preserve"> –  bus laikomasi teisės aktuose nustatytų nuostatų</w:t>
      </w:r>
      <w:r w:rsidR="00C00ECB" w:rsidRPr="00247DE9">
        <w:rPr>
          <w:sz w:val="24"/>
          <w:szCs w:val="24"/>
          <w:lang w:val="lt-LT"/>
        </w:rPr>
        <w:t>;</w:t>
      </w:r>
    </w:p>
    <w:p w14:paraId="05DA7CE9" w14:textId="77777777" w:rsidR="004A7A22" w:rsidRPr="00247DE9" w:rsidRDefault="004A7A22" w:rsidP="004A7A22">
      <w:pPr>
        <w:pStyle w:val="Antrats"/>
        <w:tabs>
          <w:tab w:val="left" w:pos="1134"/>
        </w:tabs>
        <w:ind w:firstLine="720"/>
        <w:jc w:val="both"/>
        <w:rPr>
          <w:sz w:val="24"/>
          <w:szCs w:val="24"/>
          <w:lang w:val="lt-LT"/>
        </w:rPr>
      </w:pPr>
      <w:r w:rsidRPr="00247DE9">
        <w:rPr>
          <w:b/>
          <w:sz w:val="24"/>
          <w:szCs w:val="24"/>
          <w:lang w:val="lt-LT"/>
        </w:rPr>
        <w:t>neigiamos</w:t>
      </w:r>
      <w:r w:rsidRPr="00247DE9">
        <w:rPr>
          <w:sz w:val="24"/>
          <w:szCs w:val="24"/>
          <w:lang w:val="lt-LT"/>
        </w:rPr>
        <w:t xml:space="preserve"> – nebus. </w:t>
      </w:r>
    </w:p>
    <w:p w14:paraId="44268B07" w14:textId="77777777" w:rsidR="00C00ECB" w:rsidRPr="00247DE9" w:rsidRDefault="005F2581" w:rsidP="00C00ECB">
      <w:pPr>
        <w:pStyle w:val="Antrats"/>
        <w:tabs>
          <w:tab w:val="left" w:pos="1296"/>
        </w:tabs>
        <w:ind w:firstLine="720"/>
        <w:jc w:val="both"/>
        <w:rPr>
          <w:b/>
          <w:sz w:val="24"/>
          <w:szCs w:val="24"/>
          <w:lang w:val="lt-LT"/>
        </w:rPr>
      </w:pPr>
      <w:r w:rsidRPr="00247DE9">
        <w:rPr>
          <w:b/>
          <w:sz w:val="24"/>
          <w:szCs w:val="24"/>
          <w:lang w:val="lt-LT"/>
        </w:rPr>
        <w:t>S</w:t>
      </w:r>
      <w:r w:rsidR="004A7A22" w:rsidRPr="00247DE9">
        <w:rPr>
          <w:b/>
          <w:sz w:val="24"/>
          <w:szCs w:val="24"/>
          <w:lang w:val="lt-LT"/>
        </w:rPr>
        <w:t>prendimo nauda Rokiškio rajono gyventojams.</w:t>
      </w:r>
    </w:p>
    <w:p w14:paraId="05DA7CEB" w14:textId="15B074E5" w:rsidR="004A7A22" w:rsidRPr="00247DE9" w:rsidRDefault="004A7A22" w:rsidP="00C00ECB">
      <w:pPr>
        <w:pStyle w:val="Antrats"/>
        <w:tabs>
          <w:tab w:val="left" w:pos="1296"/>
        </w:tabs>
        <w:ind w:firstLine="720"/>
        <w:jc w:val="both"/>
        <w:rPr>
          <w:b/>
          <w:sz w:val="24"/>
          <w:szCs w:val="24"/>
          <w:lang w:val="lt-LT"/>
        </w:rPr>
      </w:pPr>
      <w:r w:rsidRPr="00247DE9">
        <w:rPr>
          <w:sz w:val="24"/>
          <w:szCs w:val="24"/>
          <w:lang w:val="lt-LT"/>
        </w:rPr>
        <w:t xml:space="preserve">Direktoriaus ataskaita yra vieša, ir Rokiškio rajono savivaldybės gyventojai gali išsamiai susipažinti su bendrovės veikla, teikiamomis paslaugomis, gali teikti pasiūlymus, pageidavimus. </w:t>
      </w:r>
    </w:p>
    <w:p w14:paraId="05DA7CEC" w14:textId="77777777" w:rsidR="004A7A22" w:rsidRPr="00247DE9" w:rsidRDefault="004A7A22" w:rsidP="004A7A22">
      <w:pPr>
        <w:tabs>
          <w:tab w:val="left" w:pos="1134"/>
        </w:tabs>
        <w:ind w:firstLine="720"/>
        <w:jc w:val="both"/>
        <w:rPr>
          <w:sz w:val="24"/>
          <w:szCs w:val="24"/>
          <w:lang w:val="lt-LT"/>
        </w:rPr>
      </w:pPr>
      <w:r w:rsidRPr="00247DE9">
        <w:rPr>
          <w:b/>
          <w:bCs/>
          <w:sz w:val="24"/>
          <w:szCs w:val="24"/>
          <w:lang w:val="lt-LT"/>
        </w:rPr>
        <w:t>Finansavimo šaltiniai ir lėšų poreikis</w:t>
      </w:r>
      <w:r w:rsidRPr="00247DE9">
        <w:rPr>
          <w:sz w:val="24"/>
          <w:szCs w:val="24"/>
          <w:lang w:val="lt-LT"/>
        </w:rPr>
        <w:t>.</w:t>
      </w:r>
    </w:p>
    <w:p w14:paraId="05DA7CED" w14:textId="77777777" w:rsidR="004A7A22" w:rsidRPr="00247DE9" w:rsidRDefault="004A7A22" w:rsidP="004A7A22">
      <w:pPr>
        <w:tabs>
          <w:tab w:val="left" w:pos="1134"/>
        </w:tabs>
        <w:ind w:firstLine="720"/>
        <w:jc w:val="both"/>
        <w:rPr>
          <w:sz w:val="24"/>
          <w:szCs w:val="24"/>
          <w:lang w:val="lt-LT"/>
        </w:rPr>
      </w:pPr>
      <w:r w:rsidRPr="00247DE9">
        <w:rPr>
          <w:sz w:val="24"/>
          <w:szCs w:val="24"/>
          <w:lang w:val="lt-LT"/>
        </w:rPr>
        <w:t xml:space="preserve">Sprendimui įgyvendinti savivaldybės biudžeto lėšų nereikės. </w:t>
      </w:r>
    </w:p>
    <w:p w14:paraId="05DA7CEE" w14:textId="77777777" w:rsidR="004A7A22" w:rsidRPr="00247DE9" w:rsidRDefault="004A7A22" w:rsidP="004A7A22">
      <w:pPr>
        <w:tabs>
          <w:tab w:val="left" w:pos="1134"/>
        </w:tabs>
        <w:ind w:firstLine="720"/>
        <w:jc w:val="both"/>
        <w:rPr>
          <w:sz w:val="24"/>
          <w:szCs w:val="24"/>
          <w:lang w:val="lt-LT"/>
        </w:rPr>
      </w:pPr>
      <w:r w:rsidRPr="00247DE9">
        <w:rPr>
          <w:b/>
          <w:bCs/>
          <w:color w:val="000000"/>
          <w:sz w:val="24"/>
          <w:szCs w:val="24"/>
          <w:lang w:val="lt-LT"/>
        </w:rPr>
        <w:t>Suderinamumas su Lietuvos Respublikos galiojančiais teisės norminiais aktais.</w:t>
      </w:r>
    </w:p>
    <w:p w14:paraId="644EA07C" w14:textId="77777777" w:rsidR="00C00ECB" w:rsidRPr="00247DE9" w:rsidRDefault="004A7A22" w:rsidP="00C00ECB">
      <w:pPr>
        <w:tabs>
          <w:tab w:val="left" w:pos="1134"/>
        </w:tabs>
        <w:ind w:firstLine="720"/>
        <w:jc w:val="both"/>
        <w:rPr>
          <w:color w:val="000000"/>
          <w:sz w:val="24"/>
          <w:szCs w:val="24"/>
          <w:lang w:val="lt-LT"/>
        </w:rPr>
      </w:pPr>
      <w:r w:rsidRPr="00247DE9">
        <w:rPr>
          <w:color w:val="000000"/>
          <w:sz w:val="24"/>
          <w:szCs w:val="24"/>
          <w:lang w:val="lt-LT"/>
        </w:rPr>
        <w:t>Projektas neprieštarauja galiojantiems teisės aktams.</w:t>
      </w:r>
    </w:p>
    <w:p w14:paraId="255E8F87" w14:textId="77777777" w:rsidR="00C00ECB" w:rsidRPr="00247DE9" w:rsidRDefault="004A7A22" w:rsidP="00C00ECB">
      <w:pPr>
        <w:tabs>
          <w:tab w:val="left" w:pos="1134"/>
        </w:tabs>
        <w:ind w:firstLine="720"/>
        <w:jc w:val="both"/>
        <w:rPr>
          <w:color w:val="000000"/>
          <w:sz w:val="24"/>
          <w:szCs w:val="24"/>
          <w:lang w:val="lt-LT"/>
        </w:rPr>
      </w:pPr>
      <w:r w:rsidRPr="00247DE9">
        <w:rPr>
          <w:b/>
          <w:sz w:val="24"/>
          <w:szCs w:val="24"/>
          <w:lang w:val="lt-LT"/>
        </w:rPr>
        <w:t>Antikorupcinis vertinimas</w:t>
      </w:r>
      <w:r w:rsidRPr="00247DE9">
        <w:rPr>
          <w:sz w:val="24"/>
          <w:szCs w:val="24"/>
          <w:lang w:val="lt-LT"/>
        </w:rPr>
        <w:t>.</w:t>
      </w:r>
    </w:p>
    <w:p w14:paraId="05DA7CF1" w14:textId="24EDDE4E" w:rsidR="004A7A22" w:rsidRPr="00247DE9" w:rsidRDefault="004A7A22" w:rsidP="00C00ECB">
      <w:pPr>
        <w:tabs>
          <w:tab w:val="left" w:pos="1134"/>
        </w:tabs>
        <w:ind w:firstLine="720"/>
        <w:jc w:val="both"/>
        <w:rPr>
          <w:color w:val="000000"/>
          <w:sz w:val="24"/>
          <w:szCs w:val="24"/>
          <w:lang w:val="lt-LT"/>
        </w:rPr>
      </w:pPr>
      <w:r w:rsidRPr="00247DE9">
        <w:rPr>
          <w:sz w:val="24"/>
          <w:szCs w:val="24"/>
          <w:lang w:val="lt-LT"/>
        </w:rPr>
        <w:t xml:space="preserve">Teisės akte nenumatoma reguliuoti visuomeninių santykių, susijusių su Lietuvos Respublikos </w:t>
      </w:r>
      <w:r w:rsidR="00C00ECB" w:rsidRPr="00247DE9">
        <w:rPr>
          <w:sz w:val="24"/>
          <w:szCs w:val="24"/>
          <w:lang w:val="lt-LT"/>
        </w:rPr>
        <w:t>k</w:t>
      </w:r>
      <w:r w:rsidRPr="00247DE9">
        <w:rPr>
          <w:sz w:val="24"/>
          <w:szCs w:val="24"/>
          <w:lang w:val="lt-LT"/>
        </w:rPr>
        <w:t xml:space="preserve">orupcijos prevencijos įstatymo 8 straipsnio 1 dalyje numatytais veiksniais, todėl teisės aktas nevertintinas antikorupciniu požiūriu. </w:t>
      </w:r>
    </w:p>
    <w:p w14:paraId="05DA7CF2" w14:textId="77777777" w:rsidR="004A7A22" w:rsidRPr="00247DE9" w:rsidRDefault="004A7A22" w:rsidP="00932F6C">
      <w:pPr>
        <w:jc w:val="both"/>
        <w:rPr>
          <w:sz w:val="24"/>
          <w:szCs w:val="24"/>
          <w:lang w:val="lt-LT"/>
        </w:rPr>
      </w:pPr>
    </w:p>
    <w:p w14:paraId="05DA7CF3" w14:textId="77777777" w:rsidR="008258B3" w:rsidRPr="00247DE9" w:rsidRDefault="008258B3" w:rsidP="00932F6C">
      <w:pPr>
        <w:jc w:val="both"/>
        <w:rPr>
          <w:sz w:val="24"/>
          <w:szCs w:val="24"/>
          <w:lang w:val="lt-LT"/>
        </w:rPr>
      </w:pPr>
    </w:p>
    <w:p w14:paraId="05DA7CF4" w14:textId="77777777" w:rsidR="008258B3" w:rsidRPr="00247DE9" w:rsidRDefault="008258B3" w:rsidP="008258B3">
      <w:pPr>
        <w:jc w:val="both"/>
        <w:rPr>
          <w:sz w:val="24"/>
          <w:szCs w:val="24"/>
          <w:lang w:val="lt-LT"/>
        </w:rPr>
      </w:pPr>
      <w:r w:rsidRPr="00247DE9">
        <w:rPr>
          <w:sz w:val="24"/>
          <w:szCs w:val="24"/>
          <w:lang w:val="lt-LT"/>
        </w:rPr>
        <w:t xml:space="preserve">Turto </w:t>
      </w:r>
      <w:r w:rsidR="00932F6C" w:rsidRPr="00247DE9">
        <w:rPr>
          <w:sz w:val="24"/>
          <w:szCs w:val="24"/>
          <w:lang w:val="lt-LT"/>
        </w:rPr>
        <w:t xml:space="preserve">valdymo ir </w:t>
      </w:r>
      <w:r w:rsidRPr="00247DE9">
        <w:rPr>
          <w:sz w:val="24"/>
          <w:szCs w:val="24"/>
          <w:lang w:val="lt-LT"/>
        </w:rPr>
        <w:t>ūkio</w:t>
      </w:r>
      <w:r w:rsidR="00932F6C" w:rsidRPr="00247DE9">
        <w:rPr>
          <w:sz w:val="24"/>
          <w:szCs w:val="24"/>
          <w:lang w:val="lt-LT"/>
        </w:rPr>
        <w:t xml:space="preserve"> skyriaus</w:t>
      </w:r>
      <w:r w:rsidRPr="00247DE9">
        <w:rPr>
          <w:sz w:val="24"/>
          <w:szCs w:val="24"/>
          <w:lang w:val="lt-LT"/>
        </w:rPr>
        <w:t xml:space="preserve"> vedėj</w:t>
      </w:r>
      <w:r w:rsidR="00620389" w:rsidRPr="00247DE9">
        <w:rPr>
          <w:sz w:val="24"/>
          <w:szCs w:val="24"/>
          <w:lang w:val="lt-LT"/>
        </w:rPr>
        <w:t>a</w:t>
      </w:r>
      <w:r w:rsidR="00620389" w:rsidRPr="00247DE9">
        <w:rPr>
          <w:sz w:val="24"/>
          <w:szCs w:val="24"/>
          <w:lang w:val="lt-LT"/>
        </w:rPr>
        <w:tab/>
      </w:r>
      <w:r w:rsidR="00620389" w:rsidRPr="00247DE9">
        <w:rPr>
          <w:sz w:val="24"/>
          <w:szCs w:val="24"/>
          <w:lang w:val="lt-LT"/>
        </w:rPr>
        <w:tab/>
      </w:r>
      <w:r w:rsidRPr="00247DE9">
        <w:rPr>
          <w:sz w:val="24"/>
          <w:szCs w:val="24"/>
          <w:lang w:val="lt-LT"/>
        </w:rPr>
        <w:tab/>
      </w:r>
      <w:r w:rsidRPr="00247DE9">
        <w:rPr>
          <w:sz w:val="24"/>
          <w:szCs w:val="24"/>
          <w:lang w:val="lt-LT"/>
        </w:rPr>
        <w:tab/>
        <w:t>Violeta Bieliūnaitė-Vanagienė</w:t>
      </w:r>
    </w:p>
    <w:p w14:paraId="05DA7CF5" w14:textId="77777777" w:rsidR="004A7A22" w:rsidRPr="00247DE9" w:rsidRDefault="00932F6C" w:rsidP="00932F6C">
      <w:pPr>
        <w:jc w:val="both"/>
        <w:rPr>
          <w:sz w:val="24"/>
          <w:szCs w:val="24"/>
          <w:lang w:val="lt-LT"/>
        </w:rPr>
      </w:pPr>
      <w:r w:rsidRPr="00247DE9">
        <w:rPr>
          <w:sz w:val="24"/>
          <w:szCs w:val="24"/>
          <w:lang w:val="lt-LT"/>
        </w:rPr>
        <w:t xml:space="preserve"> </w:t>
      </w:r>
    </w:p>
    <w:p w14:paraId="05DA7CF6" w14:textId="77777777" w:rsidR="00932F6C" w:rsidRPr="00247DE9" w:rsidRDefault="00932F6C" w:rsidP="00932F6C">
      <w:pPr>
        <w:jc w:val="both"/>
        <w:rPr>
          <w:sz w:val="24"/>
          <w:szCs w:val="24"/>
          <w:lang w:val="lt-LT"/>
        </w:rPr>
      </w:pPr>
    </w:p>
    <w:p w14:paraId="05DA7CF7" w14:textId="77777777" w:rsidR="00991587" w:rsidRPr="00247DE9" w:rsidRDefault="00991587" w:rsidP="008D23EC">
      <w:pPr>
        <w:suppressAutoHyphens/>
        <w:ind w:firstLine="567"/>
        <w:rPr>
          <w:sz w:val="24"/>
          <w:szCs w:val="24"/>
          <w:shd w:val="clear" w:color="auto" w:fill="FFFFFF"/>
          <w:lang w:val="lt-LT"/>
        </w:rPr>
      </w:pPr>
    </w:p>
    <w:p w14:paraId="05DA7CF8" w14:textId="77777777" w:rsidR="00A36941" w:rsidRPr="00247DE9" w:rsidRDefault="00A36941" w:rsidP="00A36941">
      <w:pPr>
        <w:jc w:val="both"/>
        <w:rPr>
          <w:sz w:val="24"/>
          <w:szCs w:val="24"/>
          <w:shd w:val="clear" w:color="auto" w:fill="FFFFFF"/>
          <w:lang w:val="lt-LT"/>
        </w:rPr>
      </w:pPr>
    </w:p>
    <w:p w14:paraId="05DA7CF9" w14:textId="77777777" w:rsidR="00A36941" w:rsidRPr="00247DE9" w:rsidRDefault="00A36941" w:rsidP="00A36941">
      <w:pPr>
        <w:jc w:val="both"/>
        <w:rPr>
          <w:sz w:val="24"/>
          <w:szCs w:val="24"/>
          <w:shd w:val="clear" w:color="auto" w:fill="FFFFFF"/>
          <w:lang w:val="lt-LT"/>
        </w:rPr>
      </w:pPr>
    </w:p>
    <w:p w14:paraId="05DA7CFA" w14:textId="77777777" w:rsidR="00A36941" w:rsidRPr="00247DE9" w:rsidRDefault="00A36941" w:rsidP="00A36941">
      <w:pPr>
        <w:jc w:val="both"/>
        <w:rPr>
          <w:sz w:val="24"/>
          <w:szCs w:val="24"/>
          <w:lang w:val="lt-LT"/>
        </w:rPr>
      </w:pPr>
    </w:p>
    <w:p w14:paraId="05DA7CFB" w14:textId="77777777" w:rsidR="00A36941" w:rsidRPr="00247DE9" w:rsidRDefault="00A36941" w:rsidP="00A36941">
      <w:pPr>
        <w:jc w:val="both"/>
        <w:rPr>
          <w:sz w:val="24"/>
          <w:szCs w:val="24"/>
          <w:lang w:val="lt-LT"/>
        </w:rPr>
      </w:pPr>
    </w:p>
    <w:p w14:paraId="05DA7CFC" w14:textId="77777777" w:rsidR="00A36941" w:rsidRPr="00247DE9" w:rsidRDefault="00A36941" w:rsidP="00A36941">
      <w:pPr>
        <w:jc w:val="both"/>
        <w:rPr>
          <w:sz w:val="24"/>
          <w:szCs w:val="24"/>
          <w:lang w:val="lt-LT"/>
        </w:rPr>
      </w:pPr>
    </w:p>
    <w:p w14:paraId="05DA7CFD" w14:textId="77777777" w:rsidR="00A36941" w:rsidRPr="00247DE9" w:rsidRDefault="00A36941" w:rsidP="00A36941">
      <w:pPr>
        <w:jc w:val="both"/>
        <w:rPr>
          <w:sz w:val="24"/>
          <w:szCs w:val="24"/>
          <w:lang w:val="lt-LT"/>
        </w:rPr>
      </w:pPr>
    </w:p>
    <w:p w14:paraId="05DA7CFE" w14:textId="77777777" w:rsidR="00A36941" w:rsidRPr="00247DE9" w:rsidRDefault="00A36941" w:rsidP="008E7F5B">
      <w:pPr>
        <w:rPr>
          <w:sz w:val="24"/>
          <w:szCs w:val="24"/>
          <w:lang w:val="lt-LT"/>
        </w:rPr>
      </w:pPr>
    </w:p>
    <w:sectPr w:rsidR="00A36941" w:rsidRPr="00247DE9" w:rsidSect="00706BB8">
      <w:headerReference w:type="first" r:id="rId15"/>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07E75" w14:textId="77777777" w:rsidR="001F43E3" w:rsidRDefault="001F43E3">
      <w:r>
        <w:separator/>
      </w:r>
    </w:p>
  </w:endnote>
  <w:endnote w:type="continuationSeparator" w:id="0">
    <w:p w14:paraId="0AA03080" w14:textId="77777777" w:rsidR="001F43E3" w:rsidRDefault="001F43E3">
      <w:r>
        <w:continuationSeparator/>
      </w:r>
    </w:p>
  </w:endnote>
  <w:endnote w:type="continuationNotice" w:id="1">
    <w:p w14:paraId="3DE4C587" w14:textId="77777777" w:rsidR="008D5B03" w:rsidRDefault="008D5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C402D" w14:textId="77777777" w:rsidR="001F43E3" w:rsidRDefault="001F43E3">
      <w:r>
        <w:separator/>
      </w:r>
    </w:p>
  </w:footnote>
  <w:footnote w:type="continuationSeparator" w:id="0">
    <w:p w14:paraId="7C3CF799" w14:textId="77777777" w:rsidR="001F43E3" w:rsidRDefault="001F43E3">
      <w:r>
        <w:continuationSeparator/>
      </w:r>
    </w:p>
  </w:footnote>
  <w:footnote w:type="continuationNotice" w:id="1">
    <w:p w14:paraId="13D9C494" w14:textId="77777777" w:rsidR="008D5B03" w:rsidRDefault="008D5B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A7D03" w14:textId="6B3B53EE" w:rsidR="001F43E3" w:rsidRDefault="001F43E3" w:rsidP="00EB1BFB">
    <w:pPr>
      <w:framePr w:h="0" w:hSpace="180" w:wrap="around" w:vAnchor="text" w:hAnchor="page" w:x="5905" w:y="12"/>
    </w:pPr>
    <w:r>
      <w:rPr>
        <w:noProof/>
        <w:lang w:val="en-US" w:eastAsia="en-US"/>
      </w:rPr>
      <w:drawing>
        <wp:inline distT="0" distB="0" distL="0" distR="0" wp14:anchorId="05DA7D0B" wp14:editId="405A8208">
          <wp:extent cx="546100" cy="698500"/>
          <wp:effectExtent l="0" t="0" r="635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p w14:paraId="05DA7D04" w14:textId="32040CC2" w:rsidR="001F43E3" w:rsidRPr="00706BB8" w:rsidRDefault="00706BB8" w:rsidP="00706BB8">
    <w:pPr>
      <w:jc w:val="right"/>
      <w:rPr>
        <w:b/>
        <w:sz w:val="24"/>
        <w:szCs w:val="24"/>
      </w:rPr>
    </w:pPr>
    <w:r w:rsidRPr="00706BB8">
      <w:rPr>
        <w:sz w:val="24"/>
        <w:szCs w:val="24"/>
        <w:lang w:val="lt-LT"/>
      </w:rPr>
      <w:t>Projektas</w:t>
    </w:r>
  </w:p>
  <w:p w14:paraId="05DA7D05" w14:textId="0FA46D5C" w:rsidR="001F43E3" w:rsidRPr="00706BB8" w:rsidRDefault="001F43E3" w:rsidP="00706BB8">
    <w:pPr>
      <w:tabs>
        <w:tab w:val="left" w:pos="2977"/>
      </w:tabs>
      <w:rPr>
        <w:sz w:val="24"/>
        <w:szCs w:val="24"/>
        <w:lang w:val="lt-LT"/>
      </w:rPr>
    </w:pPr>
    <w:r w:rsidRPr="00706BB8">
      <w:rPr>
        <w:b/>
        <w:sz w:val="24"/>
        <w:szCs w:val="24"/>
      </w:rPr>
      <w:tab/>
    </w:r>
    <w:r w:rsidRPr="00706BB8">
      <w:rPr>
        <w:b/>
        <w:sz w:val="24"/>
        <w:szCs w:val="24"/>
      </w:rPr>
      <w:tab/>
    </w:r>
    <w:r w:rsidRPr="00706BB8">
      <w:rPr>
        <w:b/>
        <w:sz w:val="24"/>
        <w:szCs w:val="24"/>
      </w:rPr>
      <w:tab/>
    </w:r>
    <w:r w:rsidRPr="00706BB8">
      <w:rPr>
        <w:b/>
        <w:sz w:val="24"/>
        <w:szCs w:val="24"/>
      </w:rPr>
      <w:tab/>
    </w:r>
    <w:r w:rsidRPr="00706BB8">
      <w:rPr>
        <w:b/>
        <w:sz w:val="24"/>
        <w:szCs w:val="24"/>
      </w:rPr>
      <w:tab/>
    </w:r>
    <w:r w:rsidRPr="00706BB8">
      <w:rPr>
        <w:b/>
        <w:sz w:val="24"/>
        <w:szCs w:val="24"/>
      </w:rPr>
      <w:tab/>
    </w:r>
    <w:r w:rsidRPr="00706BB8">
      <w:rPr>
        <w:b/>
        <w:sz w:val="24"/>
        <w:szCs w:val="24"/>
      </w:rPr>
      <w:tab/>
    </w:r>
    <w:r w:rsidRPr="00706BB8">
      <w:rPr>
        <w:b/>
        <w:sz w:val="24"/>
        <w:szCs w:val="24"/>
      </w:rPr>
      <w:tab/>
    </w:r>
    <w:r w:rsidRPr="00706BB8">
      <w:rPr>
        <w:b/>
        <w:sz w:val="24"/>
        <w:szCs w:val="24"/>
      </w:rPr>
      <w:tab/>
    </w:r>
    <w:r w:rsidRPr="00706BB8">
      <w:rPr>
        <w:b/>
        <w:sz w:val="24"/>
        <w:szCs w:val="24"/>
      </w:rPr>
      <w:tab/>
    </w:r>
  </w:p>
  <w:p w14:paraId="05DA7D06" w14:textId="77777777" w:rsidR="001F43E3" w:rsidRPr="00706BB8" w:rsidRDefault="001F43E3" w:rsidP="00EB1BFB">
    <w:pPr>
      <w:rPr>
        <w:sz w:val="24"/>
        <w:szCs w:val="24"/>
      </w:rPr>
    </w:pPr>
  </w:p>
  <w:p w14:paraId="05DA7D07" w14:textId="77777777" w:rsidR="001F43E3" w:rsidRPr="00706BB8" w:rsidRDefault="001F43E3" w:rsidP="00EB1BFB">
    <w:pPr>
      <w:rPr>
        <w:b/>
        <w:sz w:val="24"/>
        <w:szCs w:val="24"/>
      </w:rPr>
    </w:pPr>
    <w:r w:rsidRPr="00706BB8">
      <w:rPr>
        <w:b/>
        <w:sz w:val="24"/>
        <w:szCs w:val="24"/>
      </w:rPr>
      <w:t xml:space="preserve">          </w:t>
    </w:r>
  </w:p>
  <w:p w14:paraId="05DA7D08" w14:textId="77777777" w:rsidR="001F43E3" w:rsidRPr="00706BB8" w:rsidRDefault="001F43E3" w:rsidP="00706BB8">
    <w:pPr>
      <w:jc w:val="center"/>
      <w:rPr>
        <w:b/>
        <w:sz w:val="24"/>
        <w:szCs w:val="24"/>
      </w:rPr>
    </w:pPr>
  </w:p>
  <w:p w14:paraId="05DA7D09" w14:textId="77777777" w:rsidR="001F43E3" w:rsidRPr="00706BB8" w:rsidRDefault="001F43E3" w:rsidP="00EB1BFB">
    <w:pPr>
      <w:jc w:val="center"/>
      <w:rPr>
        <w:b/>
        <w:sz w:val="24"/>
        <w:szCs w:val="24"/>
      </w:rPr>
    </w:pPr>
    <w:r w:rsidRPr="00706BB8">
      <w:rPr>
        <w:b/>
        <w:sz w:val="24"/>
        <w:szCs w:val="24"/>
      </w:rPr>
      <w:t>ROKI</w:t>
    </w:r>
    <w:r w:rsidRPr="00706BB8">
      <w:rPr>
        <w:b/>
        <w:sz w:val="24"/>
        <w:szCs w:val="24"/>
        <w:lang w:val="lt-LT"/>
      </w:rPr>
      <w:t>Š</w:t>
    </w:r>
    <w:r w:rsidRPr="00706BB8">
      <w:rPr>
        <w:b/>
        <w:sz w:val="24"/>
        <w:szCs w:val="24"/>
      </w:rPr>
      <w:t>KIO RAJONO SAVIVALDYBĖS TARYBA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2160" w:hanging="360"/>
      </w:pPr>
      <w:rPr>
        <w:rFonts w:ascii="Symbol" w:hAnsi="Symbol" w:cs="Times New Roman" w:hint="default"/>
        <w:lang w:val="lt-LT"/>
      </w:rPr>
    </w:lvl>
  </w:abstractNum>
  <w:abstractNum w:abstractNumId="2">
    <w:nsid w:val="00000003"/>
    <w:multiLevelType w:val="singleLevel"/>
    <w:tmpl w:val="00000003"/>
    <w:name w:val="WW8Num3"/>
    <w:lvl w:ilvl="0">
      <w:start w:val="2020"/>
      <w:numFmt w:val="bullet"/>
      <w:lvlText w:val="-"/>
      <w:lvlJc w:val="left"/>
      <w:pPr>
        <w:tabs>
          <w:tab w:val="num" w:pos="0"/>
        </w:tabs>
        <w:ind w:left="1800" w:hanging="360"/>
      </w:pPr>
      <w:rPr>
        <w:rFonts w:ascii="Times New Roman" w:hAnsi="Times New Roman" w:cs="Times New Roman" w:hint="default"/>
        <w:lang w:val="lt-LT"/>
      </w:rPr>
    </w:lvl>
  </w:abstractNum>
  <w:abstractNum w:abstractNumId="3">
    <w:nsid w:val="0CF70FE4"/>
    <w:multiLevelType w:val="hybridMultilevel"/>
    <w:tmpl w:val="6C50ADF8"/>
    <w:lvl w:ilvl="0" w:tplc="D5AEF01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1CD12BA3"/>
    <w:multiLevelType w:val="hybridMultilevel"/>
    <w:tmpl w:val="50702A8C"/>
    <w:lvl w:ilvl="0" w:tplc="553405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29573804"/>
    <w:multiLevelType w:val="hybridMultilevel"/>
    <w:tmpl w:val="98628408"/>
    <w:lvl w:ilvl="0" w:tplc="00A28BFA">
      <w:start w:val="2019"/>
      <w:numFmt w:val="bullet"/>
      <w:lvlText w:val="-"/>
      <w:lvlJc w:val="left"/>
      <w:pPr>
        <w:ind w:left="1554" w:hanging="360"/>
      </w:pPr>
      <w:rPr>
        <w:rFonts w:ascii="Times New Roman" w:eastAsia="Times New Roman" w:hAnsi="Times New Roman" w:cs="Times New Roman" w:hint="default"/>
      </w:rPr>
    </w:lvl>
    <w:lvl w:ilvl="1" w:tplc="04270003" w:tentative="1">
      <w:start w:val="1"/>
      <w:numFmt w:val="bullet"/>
      <w:lvlText w:val="o"/>
      <w:lvlJc w:val="left"/>
      <w:pPr>
        <w:ind w:left="2274" w:hanging="360"/>
      </w:pPr>
      <w:rPr>
        <w:rFonts w:ascii="Courier New" w:hAnsi="Courier New" w:cs="Courier New" w:hint="default"/>
      </w:rPr>
    </w:lvl>
    <w:lvl w:ilvl="2" w:tplc="04270005" w:tentative="1">
      <w:start w:val="1"/>
      <w:numFmt w:val="bullet"/>
      <w:lvlText w:val=""/>
      <w:lvlJc w:val="left"/>
      <w:pPr>
        <w:ind w:left="2994" w:hanging="360"/>
      </w:pPr>
      <w:rPr>
        <w:rFonts w:ascii="Wingdings" w:hAnsi="Wingdings" w:hint="default"/>
      </w:rPr>
    </w:lvl>
    <w:lvl w:ilvl="3" w:tplc="04270001" w:tentative="1">
      <w:start w:val="1"/>
      <w:numFmt w:val="bullet"/>
      <w:lvlText w:val=""/>
      <w:lvlJc w:val="left"/>
      <w:pPr>
        <w:ind w:left="3714" w:hanging="360"/>
      </w:pPr>
      <w:rPr>
        <w:rFonts w:ascii="Symbol" w:hAnsi="Symbol" w:hint="default"/>
      </w:rPr>
    </w:lvl>
    <w:lvl w:ilvl="4" w:tplc="04270003" w:tentative="1">
      <w:start w:val="1"/>
      <w:numFmt w:val="bullet"/>
      <w:lvlText w:val="o"/>
      <w:lvlJc w:val="left"/>
      <w:pPr>
        <w:ind w:left="4434" w:hanging="360"/>
      </w:pPr>
      <w:rPr>
        <w:rFonts w:ascii="Courier New" w:hAnsi="Courier New" w:cs="Courier New" w:hint="default"/>
      </w:rPr>
    </w:lvl>
    <w:lvl w:ilvl="5" w:tplc="04270005" w:tentative="1">
      <w:start w:val="1"/>
      <w:numFmt w:val="bullet"/>
      <w:lvlText w:val=""/>
      <w:lvlJc w:val="left"/>
      <w:pPr>
        <w:ind w:left="5154" w:hanging="360"/>
      </w:pPr>
      <w:rPr>
        <w:rFonts w:ascii="Wingdings" w:hAnsi="Wingdings" w:hint="default"/>
      </w:rPr>
    </w:lvl>
    <w:lvl w:ilvl="6" w:tplc="04270001" w:tentative="1">
      <w:start w:val="1"/>
      <w:numFmt w:val="bullet"/>
      <w:lvlText w:val=""/>
      <w:lvlJc w:val="left"/>
      <w:pPr>
        <w:ind w:left="5874" w:hanging="360"/>
      </w:pPr>
      <w:rPr>
        <w:rFonts w:ascii="Symbol" w:hAnsi="Symbol" w:hint="default"/>
      </w:rPr>
    </w:lvl>
    <w:lvl w:ilvl="7" w:tplc="04270003" w:tentative="1">
      <w:start w:val="1"/>
      <w:numFmt w:val="bullet"/>
      <w:lvlText w:val="o"/>
      <w:lvlJc w:val="left"/>
      <w:pPr>
        <w:ind w:left="6594" w:hanging="360"/>
      </w:pPr>
      <w:rPr>
        <w:rFonts w:ascii="Courier New" w:hAnsi="Courier New" w:cs="Courier New" w:hint="default"/>
      </w:rPr>
    </w:lvl>
    <w:lvl w:ilvl="8" w:tplc="04270005" w:tentative="1">
      <w:start w:val="1"/>
      <w:numFmt w:val="bullet"/>
      <w:lvlText w:val=""/>
      <w:lvlJc w:val="left"/>
      <w:pPr>
        <w:ind w:left="7314" w:hanging="360"/>
      </w:pPr>
      <w:rPr>
        <w:rFonts w:ascii="Wingdings" w:hAnsi="Wingdings" w:hint="default"/>
      </w:rPr>
    </w:lvl>
  </w:abstractNum>
  <w:abstractNum w:abstractNumId="9">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2">
    <w:nsid w:val="6A9B13CE"/>
    <w:multiLevelType w:val="hybridMultilevel"/>
    <w:tmpl w:val="17D242FA"/>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5">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4"/>
  </w:num>
  <w:num w:numId="2">
    <w:abstractNumId w:val="5"/>
  </w:num>
  <w:num w:numId="3">
    <w:abstractNumId w:val="4"/>
  </w:num>
  <w:num w:numId="4">
    <w:abstractNumId w:val="13"/>
  </w:num>
  <w:num w:numId="5">
    <w:abstractNumId w:val="16"/>
  </w:num>
  <w:num w:numId="6">
    <w:abstractNumId w:val="7"/>
  </w:num>
  <w:num w:numId="7">
    <w:abstractNumId w:val="0"/>
  </w:num>
  <w:num w:numId="8">
    <w:abstractNumId w:val="11"/>
  </w:num>
  <w:num w:numId="9">
    <w:abstractNumId w:val="9"/>
  </w:num>
  <w:num w:numId="10">
    <w:abstractNumId w:val="15"/>
  </w:num>
  <w:num w:numId="11">
    <w:abstractNumId w:val="12"/>
  </w:num>
  <w:num w:numId="12">
    <w:abstractNumId w:val="10"/>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326F"/>
    <w:rsid w:val="00025149"/>
    <w:rsid w:val="00030728"/>
    <w:rsid w:val="00040B68"/>
    <w:rsid w:val="00065EDC"/>
    <w:rsid w:val="00074117"/>
    <w:rsid w:val="00075B45"/>
    <w:rsid w:val="00080F89"/>
    <w:rsid w:val="00085048"/>
    <w:rsid w:val="00095A86"/>
    <w:rsid w:val="000A4176"/>
    <w:rsid w:val="000B1CE9"/>
    <w:rsid w:val="000B31F3"/>
    <w:rsid w:val="000B5392"/>
    <w:rsid w:val="000C20E5"/>
    <w:rsid w:val="000D5DBA"/>
    <w:rsid w:val="000E178E"/>
    <w:rsid w:val="0010197B"/>
    <w:rsid w:val="001059F4"/>
    <w:rsid w:val="00113C20"/>
    <w:rsid w:val="00185B15"/>
    <w:rsid w:val="00185C41"/>
    <w:rsid w:val="00187088"/>
    <w:rsid w:val="001A6983"/>
    <w:rsid w:val="001B6A74"/>
    <w:rsid w:val="001C358C"/>
    <w:rsid w:val="001D3073"/>
    <w:rsid w:val="001E755B"/>
    <w:rsid w:val="001F26FA"/>
    <w:rsid w:val="001F43E3"/>
    <w:rsid w:val="002318C5"/>
    <w:rsid w:val="00247DE9"/>
    <w:rsid w:val="002A5167"/>
    <w:rsid w:val="002D3B35"/>
    <w:rsid w:val="002F3C6B"/>
    <w:rsid w:val="002F7C99"/>
    <w:rsid w:val="00316D2A"/>
    <w:rsid w:val="00317263"/>
    <w:rsid w:val="00327A7B"/>
    <w:rsid w:val="00374B6B"/>
    <w:rsid w:val="003815FC"/>
    <w:rsid w:val="00390C0C"/>
    <w:rsid w:val="003A20F8"/>
    <w:rsid w:val="003A2F5A"/>
    <w:rsid w:val="003B47CA"/>
    <w:rsid w:val="003C1C25"/>
    <w:rsid w:val="003C1EF1"/>
    <w:rsid w:val="003C3613"/>
    <w:rsid w:val="003D6554"/>
    <w:rsid w:val="003F2368"/>
    <w:rsid w:val="00404748"/>
    <w:rsid w:val="00404F3E"/>
    <w:rsid w:val="00441928"/>
    <w:rsid w:val="00454130"/>
    <w:rsid w:val="00465378"/>
    <w:rsid w:val="004855CF"/>
    <w:rsid w:val="004A7A22"/>
    <w:rsid w:val="004B20F7"/>
    <w:rsid w:val="004D4B64"/>
    <w:rsid w:val="004E48E7"/>
    <w:rsid w:val="004F1509"/>
    <w:rsid w:val="005307EE"/>
    <w:rsid w:val="00531F8B"/>
    <w:rsid w:val="0053512E"/>
    <w:rsid w:val="00563489"/>
    <w:rsid w:val="00564D54"/>
    <w:rsid w:val="00565D94"/>
    <w:rsid w:val="005738F5"/>
    <w:rsid w:val="00574298"/>
    <w:rsid w:val="00590F26"/>
    <w:rsid w:val="00594803"/>
    <w:rsid w:val="005B1B1F"/>
    <w:rsid w:val="005C3A76"/>
    <w:rsid w:val="005D10B1"/>
    <w:rsid w:val="005D655F"/>
    <w:rsid w:val="005E07D7"/>
    <w:rsid w:val="005E10D0"/>
    <w:rsid w:val="005E4261"/>
    <w:rsid w:val="005E4F26"/>
    <w:rsid w:val="005F2581"/>
    <w:rsid w:val="00620389"/>
    <w:rsid w:val="00626301"/>
    <w:rsid w:val="006423E2"/>
    <w:rsid w:val="00650B14"/>
    <w:rsid w:val="0067194A"/>
    <w:rsid w:val="00683B78"/>
    <w:rsid w:val="00690A51"/>
    <w:rsid w:val="006A760B"/>
    <w:rsid w:val="006D7030"/>
    <w:rsid w:val="00706BB8"/>
    <w:rsid w:val="00750BD7"/>
    <w:rsid w:val="0075187B"/>
    <w:rsid w:val="00765683"/>
    <w:rsid w:val="00771E1A"/>
    <w:rsid w:val="00787C2F"/>
    <w:rsid w:val="00787E65"/>
    <w:rsid w:val="0079214A"/>
    <w:rsid w:val="007D28B4"/>
    <w:rsid w:val="00802DED"/>
    <w:rsid w:val="00805B08"/>
    <w:rsid w:val="00815090"/>
    <w:rsid w:val="008258B3"/>
    <w:rsid w:val="008261CA"/>
    <w:rsid w:val="00834271"/>
    <w:rsid w:val="00841780"/>
    <w:rsid w:val="00853BB1"/>
    <w:rsid w:val="00855FC2"/>
    <w:rsid w:val="00880525"/>
    <w:rsid w:val="00895C28"/>
    <w:rsid w:val="008A29BF"/>
    <w:rsid w:val="008C4B7E"/>
    <w:rsid w:val="008D23EC"/>
    <w:rsid w:val="008D5B03"/>
    <w:rsid w:val="008E7F5B"/>
    <w:rsid w:val="008F5059"/>
    <w:rsid w:val="008F6439"/>
    <w:rsid w:val="00904423"/>
    <w:rsid w:val="009108CD"/>
    <w:rsid w:val="00917406"/>
    <w:rsid w:val="00932F6C"/>
    <w:rsid w:val="009330E9"/>
    <w:rsid w:val="009339A7"/>
    <w:rsid w:val="00951728"/>
    <w:rsid w:val="00965CF0"/>
    <w:rsid w:val="009721EE"/>
    <w:rsid w:val="00991587"/>
    <w:rsid w:val="009B6495"/>
    <w:rsid w:val="009C1F16"/>
    <w:rsid w:val="009C5CB6"/>
    <w:rsid w:val="00A17A7A"/>
    <w:rsid w:val="00A3518E"/>
    <w:rsid w:val="00A36941"/>
    <w:rsid w:val="00A624A4"/>
    <w:rsid w:val="00A77246"/>
    <w:rsid w:val="00AB1C58"/>
    <w:rsid w:val="00AC6EFA"/>
    <w:rsid w:val="00B05F1C"/>
    <w:rsid w:val="00B21FA0"/>
    <w:rsid w:val="00B3094B"/>
    <w:rsid w:val="00B45626"/>
    <w:rsid w:val="00B52CC9"/>
    <w:rsid w:val="00B62BAC"/>
    <w:rsid w:val="00B804BD"/>
    <w:rsid w:val="00BD5C96"/>
    <w:rsid w:val="00BE4861"/>
    <w:rsid w:val="00BE6371"/>
    <w:rsid w:val="00BF1AC1"/>
    <w:rsid w:val="00BF1C9E"/>
    <w:rsid w:val="00C00ECB"/>
    <w:rsid w:val="00C10F97"/>
    <w:rsid w:val="00C11020"/>
    <w:rsid w:val="00C13BB0"/>
    <w:rsid w:val="00C31423"/>
    <w:rsid w:val="00C402F6"/>
    <w:rsid w:val="00CA536C"/>
    <w:rsid w:val="00CA7F4C"/>
    <w:rsid w:val="00CB1B62"/>
    <w:rsid w:val="00CB2F2A"/>
    <w:rsid w:val="00CC4D7F"/>
    <w:rsid w:val="00CC5051"/>
    <w:rsid w:val="00CE4D05"/>
    <w:rsid w:val="00D2048B"/>
    <w:rsid w:val="00D24487"/>
    <w:rsid w:val="00D52072"/>
    <w:rsid w:val="00D60691"/>
    <w:rsid w:val="00D7633A"/>
    <w:rsid w:val="00D85BE6"/>
    <w:rsid w:val="00D9657E"/>
    <w:rsid w:val="00DB5DE1"/>
    <w:rsid w:val="00DC6CC4"/>
    <w:rsid w:val="00DD14A1"/>
    <w:rsid w:val="00DE738F"/>
    <w:rsid w:val="00DE78DB"/>
    <w:rsid w:val="00DF37CB"/>
    <w:rsid w:val="00E00583"/>
    <w:rsid w:val="00E220A3"/>
    <w:rsid w:val="00E750C3"/>
    <w:rsid w:val="00E7572C"/>
    <w:rsid w:val="00E87305"/>
    <w:rsid w:val="00EA3BBE"/>
    <w:rsid w:val="00EB1BFB"/>
    <w:rsid w:val="00EB2A84"/>
    <w:rsid w:val="00EC6931"/>
    <w:rsid w:val="00EF24EE"/>
    <w:rsid w:val="00F0443E"/>
    <w:rsid w:val="00F054DE"/>
    <w:rsid w:val="00F20623"/>
    <w:rsid w:val="00F834D6"/>
    <w:rsid w:val="00FD5B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DA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rsid w:val="00187088"/>
    <w:rPr>
      <w:lang w:val="en-AU"/>
    </w:rPr>
  </w:style>
  <w:style w:type="paragraph" w:styleId="Betarp">
    <w:name w:val="No Spacing"/>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rsid w:val="00187088"/>
    <w:rPr>
      <w:lang w:val="en-AU"/>
    </w:rPr>
  </w:style>
  <w:style w:type="paragraph" w:styleId="Betarp">
    <w:name w:val="No Spacing"/>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431">
      <w:bodyDiv w:val="1"/>
      <w:marLeft w:val="0"/>
      <w:marRight w:val="0"/>
      <w:marTop w:val="0"/>
      <w:marBottom w:val="0"/>
      <w:divBdr>
        <w:top w:val="none" w:sz="0" w:space="0" w:color="auto"/>
        <w:left w:val="none" w:sz="0" w:space="0" w:color="auto"/>
        <w:bottom w:val="none" w:sz="0" w:space="0" w:color="auto"/>
        <w:right w:val="none" w:sz="0" w:space="0" w:color="auto"/>
      </w:divBdr>
    </w:div>
    <w:div w:id="373846908">
      <w:bodyDiv w:val="1"/>
      <w:marLeft w:val="0"/>
      <w:marRight w:val="0"/>
      <w:marTop w:val="0"/>
      <w:marBottom w:val="0"/>
      <w:divBdr>
        <w:top w:val="none" w:sz="0" w:space="0" w:color="auto"/>
        <w:left w:val="none" w:sz="0" w:space="0" w:color="auto"/>
        <w:bottom w:val="none" w:sz="0" w:space="0" w:color="auto"/>
        <w:right w:val="none" w:sz="0" w:space="0" w:color="auto"/>
      </w:divBdr>
    </w:div>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918905558">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F5C0-9C39-41C4-8FDE-C4E61267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11</Pages>
  <Words>3518</Words>
  <Characters>20053</Characters>
  <Application>Microsoft Office Word</Application>
  <DocSecurity>0</DocSecurity>
  <Lines>167</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2017-12-13T10:19:00Z</cp:lastPrinted>
  <dcterms:created xsi:type="dcterms:W3CDTF">2021-04-20T07:46:00Z</dcterms:created>
  <dcterms:modified xsi:type="dcterms:W3CDTF">2021-04-20T07:46:00Z</dcterms:modified>
</cp:coreProperties>
</file>